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DE3088" w14:textId="77777777" w:rsidR="00977523" w:rsidRDefault="00977523"/>
    <w:tbl>
      <w:tblPr>
        <w:tblW w:w="9060" w:type="dxa"/>
        <w:jc w:val="right"/>
        <w:shd w:val="clear" w:color="auto" w:fill="8DC63F"/>
        <w:tblLayout w:type="fixed"/>
        <w:tblCellMar>
          <w:left w:w="115" w:type="dxa"/>
          <w:right w:w="115" w:type="dxa"/>
        </w:tblCellMar>
        <w:tblLook w:val="04A0" w:firstRow="1" w:lastRow="0" w:firstColumn="1" w:lastColumn="0" w:noHBand="0" w:noVBand="1"/>
      </w:tblPr>
      <w:tblGrid>
        <w:gridCol w:w="9060"/>
      </w:tblGrid>
      <w:tr w:rsidR="00375BD8" w:rsidRPr="00203ECA" w14:paraId="4ACD023F" w14:textId="77777777" w:rsidTr="00E00D76">
        <w:trPr>
          <w:cantSplit/>
          <w:trHeight w:hRule="exact" w:val="1953"/>
          <w:jc w:val="right"/>
        </w:trPr>
        <w:tc>
          <w:tcPr>
            <w:tcW w:w="9060" w:type="dxa"/>
            <w:shd w:val="clear" w:color="auto" w:fill="8DC63F"/>
            <w:vAlign w:val="center"/>
          </w:tcPr>
          <w:p w14:paraId="713B7AF9" w14:textId="675B2A0E" w:rsidR="00375BD8" w:rsidRPr="00203ECA" w:rsidRDefault="006C637E" w:rsidP="00B13E72">
            <w:pPr>
              <w:pStyle w:val="eTRMHeading1"/>
              <w:jc w:val="center"/>
            </w:pPr>
            <w:r>
              <w:t>HVAC</w:t>
            </w:r>
          </w:p>
          <w:p w14:paraId="66329A1F" w14:textId="601F74ED" w:rsidR="00375BD8" w:rsidRDefault="009926D7" w:rsidP="00B13E72">
            <w:pPr>
              <w:pStyle w:val="eTRMHeading2"/>
              <w:rPr>
                <w:color w:val="FFFFFF" w:themeColor="background1"/>
                <w:spacing w:val="60"/>
              </w:rPr>
            </w:pPr>
            <w:r>
              <w:rPr>
                <w:color w:val="FFFFFF" w:themeColor="background1"/>
                <w:spacing w:val="60"/>
              </w:rPr>
              <w:t>Ductless HVAC, Residential -</w:t>
            </w:r>
            <w:r w:rsidR="00837B52">
              <w:rPr>
                <w:color w:val="FFFFFF" w:themeColor="background1"/>
                <w:spacing w:val="60"/>
              </w:rPr>
              <w:t xml:space="preserve"> Fuel Substitution</w:t>
            </w:r>
          </w:p>
          <w:p w14:paraId="11E9A0DD" w14:textId="10841963" w:rsidR="009926D7" w:rsidRPr="00203ECA" w:rsidRDefault="009926D7" w:rsidP="00B13E72">
            <w:pPr>
              <w:pStyle w:val="eTRMHeading2"/>
              <w:rPr>
                <w:color w:val="FFFFFF" w:themeColor="background1"/>
              </w:rPr>
            </w:pPr>
            <w:r>
              <w:rPr>
                <w:color w:val="FFFFFF" w:themeColor="background1"/>
                <w:spacing w:val="60"/>
              </w:rPr>
              <w:t>SWHC044-</w:t>
            </w:r>
            <w:r w:rsidR="007363AD">
              <w:rPr>
                <w:color w:val="FFFFFF" w:themeColor="background1"/>
                <w:spacing w:val="60"/>
              </w:rPr>
              <w:t>02</w:t>
            </w:r>
          </w:p>
        </w:tc>
      </w:tr>
    </w:tbl>
    <w:p w14:paraId="27C2F102" w14:textId="77777777" w:rsidR="004B3476" w:rsidRPr="00203ECA" w:rsidRDefault="004B3476" w:rsidP="004B3476">
      <w:pPr>
        <w:jc w:val="both"/>
      </w:pPr>
    </w:p>
    <w:p w14:paraId="35DBFB10" w14:textId="77777777" w:rsidR="00375BD8" w:rsidRPr="00203ECA" w:rsidRDefault="00375BD8" w:rsidP="00B13E72">
      <w:pPr>
        <w:jc w:val="both"/>
      </w:pPr>
    </w:p>
    <w:p w14:paraId="533B55ED" w14:textId="77777777" w:rsidR="00375BD8" w:rsidRPr="00203ECA" w:rsidRDefault="00375BD8" w:rsidP="006C637E">
      <w:pPr>
        <w:jc w:val="center"/>
        <w:rPr>
          <w:spacing w:val="80"/>
          <w:sz w:val="28"/>
        </w:rPr>
      </w:pPr>
      <w:r w:rsidRPr="00203ECA">
        <w:rPr>
          <w:spacing w:val="80"/>
          <w:sz w:val="28"/>
        </w:rPr>
        <w:t>CONTENTS</w:t>
      </w:r>
    </w:p>
    <w:p w14:paraId="51DD9012" w14:textId="0F1945FD" w:rsidR="00B5340F" w:rsidRDefault="00375BD8">
      <w:pPr>
        <w:pStyle w:val="TOC3"/>
        <w:rPr>
          <w:rFonts w:asciiTheme="minorHAnsi" w:hAnsiTheme="minorHAnsi"/>
          <w:noProof/>
          <w:szCs w:val="22"/>
        </w:rPr>
      </w:pPr>
      <w:r w:rsidRPr="00203ECA">
        <w:fldChar w:fldCharType="begin"/>
      </w:r>
      <w:r w:rsidRPr="00203ECA">
        <w:instrText xml:space="preserve"> TOC \t "eTRM Heading 3,3" </w:instrText>
      </w:r>
      <w:r w:rsidRPr="00203ECA">
        <w:fldChar w:fldCharType="separate"/>
      </w:r>
      <w:r w:rsidR="00B5340F" w:rsidRPr="009512E7">
        <w:rPr>
          <w:rFonts w:cs="Calibri Light"/>
          <w:noProof/>
        </w:rPr>
        <w:t>Measure Name</w:t>
      </w:r>
      <w:r w:rsidR="00B5340F">
        <w:rPr>
          <w:noProof/>
        </w:rPr>
        <w:tab/>
      </w:r>
      <w:r w:rsidR="00B5340F">
        <w:rPr>
          <w:noProof/>
        </w:rPr>
        <w:fldChar w:fldCharType="begin"/>
      </w:r>
      <w:r w:rsidR="00B5340F">
        <w:rPr>
          <w:noProof/>
        </w:rPr>
        <w:instrText xml:space="preserve"> PAGEREF _Toc64561054 \h </w:instrText>
      </w:r>
      <w:r w:rsidR="00B5340F">
        <w:rPr>
          <w:noProof/>
        </w:rPr>
      </w:r>
      <w:r w:rsidR="00B5340F">
        <w:rPr>
          <w:noProof/>
        </w:rPr>
        <w:fldChar w:fldCharType="separate"/>
      </w:r>
      <w:r w:rsidR="00E00D76">
        <w:rPr>
          <w:noProof/>
        </w:rPr>
        <w:t>2</w:t>
      </w:r>
      <w:r w:rsidR="00B5340F">
        <w:rPr>
          <w:noProof/>
        </w:rPr>
        <w:fldChar w:fldCharType="end"/>
      </w:r>
    </w:p>
    <w:p w14:paraId="3BECF1BC" w14:textId="7EA0319B" w:rsidR="00B5340F" w:rsidRDefault="00B5340F">
      <w:pPr>
        <w:pStyle w:val="TOC3"/>
        <w:rPr>
          <w:rFonts w:asciiTheme="minorHAnsi" w:hAnsiTheme="minorHAnsi"/>
          <w:noProof/>
          <w:szCs w:val="22"/>
        </w:rPr>
      </w:pPr>
      <w:r w:rsidRPr="009512E7">
        <w:rPr>
          <w:rFonts w:cs="Calibri Light"/>
          <w:noProof/>
        </w:rPr>
        <w:t>Statewide Measure ID</w:t>
      </w:r>
      <w:r>
        <w:rPr>
          <w:noProof/>
        </w:rPr>
        <w:tab/>
      </w:r>
      <w:r>
        <w:rPr>
          <w:noProof/>
        </w:rPr>
        <w:fldChar w:fldCharType="begin"/>
      </w:r>
      <w:r>
        <w:rPr>
          <w:noProof/>
        </w:rPr>
        <w:instrText xml:space="preserve"> PAGEREF _Toc64561055 \h </w:instrText>
      </w:r>
      <w:r>
        <w:rPr>
          <w:noProof/>
        </w:rPr>
      </w:r>
      <w:r>
        <w:rPr>
          <w:noProof/>
        </w:rPr>
        <w:fldChar w:fldCharType="separate"/>
      </w:r>
      <w:r w:rsidR="00E00D76">
        <w:rPr>
          <w:noProof/>
        </w:rPr>
        <w:t>2</w:t>
      </w:r>
      <w:r>
        <w:rPr>
          <w:noProof/>
        </w:rPr>
        <w:fldChar w:fldCharType="end"/>
      </w:r>
    </w:p>
    <w:p w14:paraId="0C02820E" w14:textId="16D61E8B" w:rsidR="00B5340F" w:rsidRDefault="00B5340F">
      <w:pPr>
        <w:pStyle w:val="TOC3"/>
        <w:rPr>
          <w:rFonts w:asciiTheme="minorHAnsi" w:hAnsiTheme="minorHAnsi"/>
          <w:noProof/>
          <w:szCs w:val="22"/>
        </w:rPr>
      </w:pPr>
      <w:r w:rsidRPr="009512E7">
        <w:rPr>
          <w:rFonts w:cs="Calibri Light"/>
          <w:noProof/>
        </w:rPr>
        <w:t>Technology Summary</w:t>
      </w:r>
      <w:r>
        <w:rPr>
          <w:noProof/>
        </w:rPr>
        <w:tab/>
      </w:r>
      <w:r>
        <w:rPr>
          <w:noProof/>
        </w:rPr>
        <w:fldChar w:fldCharType="begin"/>
      </w:r>
      <w:r>
        <w:rPr>
          <w:noProof/>
        </w:rPr>
        <w:instrText xml:space="preserve"> PAGEREF _Toc64561056 \h </w:instrText>
      </w:r>
      <w:r>
        <w:rPr>
          <w:noProof/>
        </w:rPr>
      </w:r>
      <w:r>
        <w:rPr>
          <w:noProof/>
        </w:rPr>
        <w:fldChar w:fldCharType="separate"/>
      </w:r>
      <w:r w:rsidR="00E00D76">
        <w:rPr>
          <w:noProof/>
        </w:rPr>
        <w:t>2</w:t>
      </w:r>
      <w:r>
        <w:rPr>
          <w:noProof/>
        </w:rPr>
        <w:fldChar w:fldCharType="end"/>
      </w:r>
    </w:p>
    <w:p w14:paraId="574414DF" w14:textId="57513CBC" w:rsidR="00B5340F" w:rsidRDefault="00B5340F">
      <w:pPr>
        <w:pStyle w:val="TOC3"/>
        <w:rPr>
          <w:rFonts w:asciiTheme="minorHAnsi" w:hAnsiTheme="minorHAnsi"/>
          <w:noProof/>
          <w:szCs w:val="22"/>
        </w:rPr>
      </w:pPr>
      <w:r w:rsidRPr="009512E7">
        <w:rPr>
          <w:rFonts w:cs="Calibri Light"/>
          <w:noProof/>
        </w:rPr>
        <w:t>Measure Case Description</w:t>
      </w:r>
      <w:r>
        <w:rPr>
          <w:noProof/>
        </w:rPr>
        <w:tab/>
      </w:r>
      <w:r>
        <w:rPr>
          <w:noProof/>
        </w:rPr>
        <w:fldChar w:fldCharType="begin"/>
      </w:r>
      <w:r>
        <w:rPr>
          <w:noProof/>
        </w:rPr>
        <w:instrText xml:space="preserve"> PAGEREF _Toc64561057 \h </w:instrText>
      </w:r>
      <w:r>
        <w:rPr>
          <w:noProof/>
        </w:rPr>
      </w:r>
      <w:r>
        <w:rPr>
          <w:noProof/>
        </w:rPr>
        <w:fldChar w:fldCharType="separate"/>
      </w:r>
      <w:r w:rsidR="00E00D76">
        <w:rPr>
          <w:noProof/>
        </w:rPr>
        <w:t>2</w:t>
      </w:r>
      <w:r>
        <w:rPr>
          <w:noProof/>
        </w:rPr>
        <w:fldChar w:fldCharType="end"/>
      </w:r>
    </w:p>
    <w:p w14:paraId="69E19B48" w14:textId="6038891D" w:rsidR="00B5340F" w:rsidRDefault="00B5340F">
      <w:pPr>
        <w:pStyle w:val="TOC3"/>
        <w:rPr>
          <w:rFonts w:asciiTheme="minorHAnsi" w:hAnsiTheme="minorHAnsi"/>
          <w:noProof/>
          <w:szCs w:val="22"/>
        </w:rPr>
      </w:pPr>
      <w:r w:rsidRPr="009512E7">
        <w:rPr>
          <w:rFonts w:cs="Calibri Light"/>
          <w:noProof/>
        </w:rPr>
        <w:t>Base Case Description</w:t>
      </w:r>
      <w:r>
        <w:rPr>
          <w:noProof/>
        </w:rPr>
        <w:tab/>
      </w:r>
      <w:r>
        <w:rPr>
          <w:noProof/>
        </w:rPr>
        <w:fldChar w:fldCharType="begin"/>
      </w:r>
      <w:r>
        <w:rPr>
          <w:noProof/>
        </w:rPr>
        <w:instrText xml:space="preserve"> PAGEREF _Toc64561058 \h </w:instrText>
      </w:r>
      <w:r>
        <w:rPr>
          <w:noProof/>
        </w:rPr>
      </w:r>
      <w:r>
        <w:rPr>
          <w:noProof/>
        </w:rPr>
        <w:fldChar w:fldCharType="separate"/>
      </w:r>
      <w:r w:rsidR="00E00D76">
        <w:rPr>
          <w:noProof/>
        </w:rPr>
        <w:t>3</w:t>
      </w:r>
      <w:r>
        <w:rPr>
          <w:noProof/>
        </w:rPr>
        <w:fldChar w:fldCharType="end"/>
      </w:r>
    </w:p>
    <w:p w14:paraId="0F0F050E" w14:textId="7EA80B89" w:rsidR="00B5340F" w:rsidRDefault="00B5340F">
      <w:pPr>
        <w:pStyle w:val="TOC3"/>
        <w:rPr>
          <w:rFonts w:asciiTheme="minorHAnsi" w:hAnsiTheme="minorHAnsi"/>
          <w:noProof/>
          <w:szCs w:val="22"/>
        </w:rPr>
      </w:pPr>
      <w:r w:rsidRPr="009512E7">
        <w:rPr>
          <w:rFonts w:cs="Calibri Light"/>
          <w:noProof/>
        </w:rPr>
        <w:t>Code Requirements</w:t>
      </w:r>
      <w:r>
        <w:rPr>
          <w:noProof/>
        </w:rPr>
        <w:tab/>
      </w:r>
      <w:r>
        <w:rPr>
          <w:noProof/>
        </w:rPr>
        <w:fldChar w:fldCharType="begin"/>
      </w:r>
      <w:r>
        <w:rPr>
          <w:noProof/>
        </w:rPr>
        <w:instrText xml:space="preserve"> PAGEREF _Toc64561059 \h </w:instrText>
      </w:r>
      <w:r>
        <w:rPr>
          <w:noProof/>
        </w:rPr>
      </w:r>
      <w:r>
        <w:rPr>
          <w:noProof/>
        </w:rPr>
        <w:fldChar w:fldCharType="separate"/>
      </w:r>
      <w:r w:rsidR="00E00D76">
        <w:rPr>
          <w:noProof/>
        </w:rPr>
        <w:t>4</w:t>
      </w:r>
      <w:r>
        <w:rPr>
          <w:noProof/>
        </w:rPr>
        <w:fldChar w:fldCharType="end"/>
      </w:r>
    </w:p>
    <w:p w14:paraId="4E41B324" w14:textId="2585A6B5" w:rsidR="00B5340F" w:rsidRDefault="00B5340F">
      <w:pPr>
        <w:pStyle w:val="TOC3"/>
        <w:rPr>
          <w:rFonts w:asciiTheme="minorHAnsi" w:hAnsiTheme="minorHAnsi"/>
          <w:noProof/>
          <w:szCs w:val="22"/>
        </w:rPr>
      </w:pPr>
      <w:r w:rsidRPr="009512E7">
        <w:rPr>
          <w:rFonts w:cs="Calibri Light"/>
          <w:noProof/>
        </w:rPr>
        <w:t>Normalizing Unit</w:t>
      </w:r>
      <w:r>
        <w:rPr>
          <w:noProof/>
        </w:rPr>
        <w:tab/>
      </w:r>
      <w:r>
        <w:rPr>
          <w:noProof/>
        </w:rPr>
        <w:fldChar w:fldCharType="begin"/>
      </w:r>
      <w:r>
        <w:rPr>
          <w:noProof/>
        </w:rPr>
        <w:instrText xml:space="preserve"> PAGEREF _Toc64561060 \h </w:instrText>
      </w:r>
      <w:r>
        <w:rPr>
          <w:noProof/>
        </w:rPr>
      </w:r>
      <w:r>
        <w:rPr>
          <w:noProof/>
        </w:rPr>
        <w:fldChar w:fldCharType="separate"/>
      </w:r>
      <w:r w:rsidR="00E00D76">
        <w:rPr>
          <w:noProof/>
        </w:rPr>
        <w:t>10</w:t>
      </w:r>
      <w:r>
        <w:rPr>
          <w:noProof/>
        </w:rPr>
        <w:fldChar w:fldCharType="end"/>
      </w:r>
    </w:p>
    <w:p w14:paraId="498249BD" w14:textId="62504D12" w:rsidR="00B5340F" w:rsidRDefault="00B5340F">
      <w:pPr>
        <w:pStyle w:val="TOC3"/>
        <w:rPr>
          <w:rFonts w:asciiTheme="minorHAnsi" w:hAnsiTheme="minorHAnsi"/>
          <w:noProof/>
          <w:szCs w:val="22"/>
        </w:rPr>
      </w:pPr>
      <w:r w:rsidRPr="009512E7">
        <w:rPr>
          <w:rFonts w:cs="Calibri Light"/>
          <w:noProof/>
        </w:rPr>
        <w:t>Program Requirements</w:t>
      </w:r>
      <w:r>
        <w:rPr>
          <w:noProof/>
        </w:rPr>
        <w:tab/>
      </w:r>
      <w:r>
        <w:rPr>
          <w:noProof/>
        </w:rPr>
        <w:fldChar w:fldCharType="begin"/>
      </w:r>
      <w:r>
        <w:rPr>
          <w:noProof/>
        </w:rPr>
        <w:instrText xml:space="preserve"> PAGEREF _Toc64561061 \h </w:instrText>
      </w:r>
      <w:r>
        <w:rPr>
          <w:noProof/>
        </w:rPr>
      </w:r>
      <w:r>
        <w:rPr>
          <w:noProof/>
        </w:rPr>
        <w:fldChar w:fldCharType="separate"/>
      </w:r>
      <w:r w:rsidR="00E00D76">
        <w:rPr>
          <w:noProof/>
        </w:rPr>
        <w:t>10</w:t>
      </w:r>
      <w:r>
        <w:rPr>
          <w:noProof/>
        </w:rPr>
        <w:fldChar w:fldCharType="end"/>
      </w:r>
    </w:p>
    <w:p w14:paraId="2653B373" w14:textId="2EF8232D" w:rsidR="00B5340F" w:rsidRDefault="00B5340F">
      <w:pPr>
        <w:pStyle w:val="TOC3"/>
        <w:rPr>
          <w:rFonts w:asciiTheme="minorHAnsi" w:hAnsiTheme="minorHAnsi"/>
          <w:noProof/>
          <w:szCs w:val="22"/>
        </w:rPr>
      </w:pPr>
      <w:r w:rsidRPr="009512E7">
        <w:rPr>
          <w:rFonts w:cs="Calibri Light"/>
          <w:noProof/>
        </w:rPr>
        <w:t>Program Exclusions</w:t>
      </w:r>
      <w:r>
        <w:rPr>
          <w:noProof/>
        </w:rPr>
        <w:tab/>
      </w:r>
      <w:r>
        <w:rPr>
          <w:noProof/>
        </w:rPr>
        <w:fldChar w:fldCharType="begin"/>
      </w:r>
      <w:r>
        <w:rPr>
          <w:noProof/>
        </w:rPr>
        <w:instrText xml:space="preserve"> PAGEREF _Toc64561062 \h </w:instrText>
      </w:r>
      <w:r>
        <w:rPr>
          <w:noProof/>
        </w:rPr>
      </w:r>
      <w:r>
        <w:rPr>
          <w:noProof/>
        </w:rPr>
        <w:fldChar w:fldCharType="separate"/>
      </w:r>
      <w:r w:rsidR="00E00D76">
        <w:rPr>
          <w:noProof/>
        </w:rPr>
        <w:t>12</w:t>
      </w:r>
      <w:r>
        <w:rPr>
          <w:noProof/>
        </w:rPr>
        <w:fldChar w:fldCharType="end"/>
      </w:r>
    </w:p>
    <w:p w14:paraId="741809CE" w14:textId="048A4E5F" w:rsidR="00B5340F" w:rsidRDefault="00B5340F">
      <w:pPr>
        <w:pStyle w:val="TOC3"/>
        <w:rPr>
          <w:rFonts w:asciiTheme="minorHAnsi" w:hAnsiTheme="minorHAnsi"/>
          <w:noProof/>
          <w:szCs w:val="22"/>
        </w:rPr>
      </w:pPr>
      <w:r w:rsidRPr="009512E7">
        <w:rPr>
          <w:rFonts w:cs="Calibri Light"/>
          <w:noProof/>
        </w:rPr>
        <w:t>Data Collection Requirements</w:t>
      </w:r>
      <w:r>
        <w:rPr>
          <w:noProof/>
        </w:rPr>
        <w:tab/>
      </w:r>
      <w:r>
        <w:rPr>
          <w:noProof/>
        </w:rPr>
        <w:fldChar w:fldCharType="begin"/>
      </w:r>
      <w:r>
        <w:rPr>
          <w:noProof/>
        </w:rPr>
        <w:instrText xml:space="preserve"> PAGEREF _Toc64561063 \h </w:instrText>
      </w:r>
      <w:r>
        <w:rPr>
          <w:noProof/>
        </w:rPr>
      </w:r>
      <w:r>
        <w:rPr>
          <w:noProof/>
        </w:rPr>
        <w:fldChar w:fldCharType="separate"/>
      </w:r>
      <w:r w:rsidR="00E00D76">
        <w:rPr>
          <w:noProof/>
        </w:rPr>
        <w:t>12</w:t>
      </w:r>
      <w:r>
        <w:rPr>
          <w:noProof/>
        </w:rPr>
        <w:fldChar w:fldCharType="end"/>
      </w:r>
    </w:p>
    <w:p w14:paraId="593D2B88" w14:textId="50020AD5" w:rsidR="00B5340F" w:rsidRDefault="00B5340F">
      <w:pPr>
        <w:pStyle w:val="TOC3"/>
        <w:rPr>
          <w:rFonts w:asciiTheme="minorHAnsi" w:hAnsiTheme="minorHAnsi"/>
          <w:noProof/>
          <w:szCs w:val="22"/>
        </w:rPr>
      </w:pPr>
      <w:r w:rsidRPr="009512E7">
        <w:rPr>
          <w:rFonts w:cs="Calibri Light"/>
          <w:noProof/>
        </w:rPr>
        <w:t>Use Category</w:t>
      </w:r>
      <w:r>
        <w:rPr>
          <w:noProof/>
        </w:rPr>
        <w:tab/>
      </w:r>
      <w:r>
        <w:rPr>
          <w:noProof/>
        </w:rPr>
        <w:fldChar w:fldCharType="begin"/>
      </w:r>
      <w:r>
        <w:rPr>
          <w:noProof/>
        </w:rPr>
        <w:instrText xml:space="preserve"> PAGEREF _Toc64561064 \h </w:instrText>
      </w:r>
      <w:r>
        <w:rPr>
          <w:noProof/>
        </w:rPr>
      </w:r>
      <w:r>
        <w:rPr>
          <w:noProof/>
        </w:rPr>
        <w:fldChar w:fldCharType="separate"/>
      </w:r>
      <w:r w:rsidR="00E00D76">
        <w:rPr>
          <w:noProof/>
        </w:rPr>
        <w:t>13</w:t>
      </w:r>
      <w:r>
        <w:rPr>
          <w:noProof/>
        </w:rPr>
        <w:fldChar w:fldCharType="end"/>
      </w:r>
    </w:p>
    <w:p w14:paraId="1ABBD873" w14:textId="671FD1B2" w:rsidR="00B5340F" w:rsidRDefault="00B5340F">
      <w:pPr>
        <w:pStyle w:val="TOC3"/>
        <w:rPr>
          <w:rFonts w:asciiTheme="minorHAnsi" w:hAnsiTheme="minorHAnsi"/>
          <w:noProof/>
          <w:szCs w:val="22"/>
        </w:rPr>
      </w:pPr>
      <w:r w:rsidRPr="009512E7">
        <w:rPr>
          <w:rFonts w:cs="Calibri Light"/>
          <w:noProof/>
        </w:rPr>
        <w:t>Electric Savings (kWh)</w:t>
      </w:r>
      <w:r>
        <w:rPr>
          <w:noProof/>
        </w:rPr>
        <w:tab/>
      </w:r>
      <w:r>
        <w:rPr>
          <w:noProof/>
        </w:rPr>
        <w:fldChar w:fldCharType="begin"/>
      </w:r>
      <w:r>
        <w:rPr>
          <w:noProof/>
        </w:rPr>
        <w:instrText xml:space="preserve"> PAGEREF _Toc64561065 \h </w:instrText>
      </w:r>
      <w:r>
        <w:rPr>
          <w:noProof/>
        </w:rPr>
      </w:r>
      <w:r>
        <w:rPr>
          <w:noProof/>
        </w:rPr>
        <w:fldChar w:fldCharType="separate"/>
      </w:r>
      <w:r w:rsidR="00E00D76">
        <w:rPr>
          <w:noProof/>
        </w:rPr>
        <w:t>13</w:t>
      </w:r>
      <w:r>
        <w:rPr>
          <w:noProof/>
        </w:rPr>
        <w:fldChar w:fldCharType="end"/>
      </w:r>
    </w:p>
    <w:p w14:paraId="336B77AA" w14:textId="3F877568" w:rsidR="00B5340F" w:rsidRDefault="00B5340F">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_Toc64561066 \h </w:instrText>
      </w:r>
      <w:r>
        <w:rPr>
          <w:noProof/>
        </w:rPr>
      </w:r>
      <w:r>
        <w:rPr>
          <w:noProof/>
        </w:rPr>
        <w:fldChar w:fldCharType="separate"/>
      </w:r>
      <w:r w:rsidR="00E00D76">
        <w:rPr>
          <w:noProof/>
        </w:rPr>
        <w:t>17</w:t>
      </w:r>
      <w:r>
        <w:rPr>
          <w:noProof/>
        </w:rPr>
        <w:fldChar w:fldCharType="end"/>
      </w:r>
    </w:p>
    <w:p w14:paraId="3CDA7DF7" w14:textId="5CCB3D1E" w:rsidR="00B5340F" w:rsidRDefault="00B5340F">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_Toc64561067 \h </w:instrText>
      </w:r>
      <w:r>
        <w:rPr>
          <w:noProof/>
        </w:rPr>
      </w:r>
      <w:r>
        <w:rPr>
          <w:noProof/>
        </w:rPr>
        <w:fldChar w:fldCharType="separate"/>
      </w:r>
      <w:r w:rsidR="00E00D76">
        <w:rPr>
          <w:noProof/>
        </w:rPr>
        <w:t>17</w:t>
      </w:r>
      <w:r>
        <w:rPr>
          <w:noProof/>
        </w:rPr>
        <w:fldChar w:fldCharType="end"/>
      </w:r>
    </w:p>
    <w:p w14:paraId="251F31F7" w14:textId="72B10CD3" w:rsidR="00B5340F" w:rsidRDefault="00B5340F">
      <w:pPr>
        <w:pStyle w:val="TOC3"/>
        <w:rPr>
          <w:rFonts w:asciiTheme="minorHAnsi" w:hAnsiTheme="minorHAnsi"/>
          <w:noProof/>
          <w:szCs w:val="22"/>
        </w:rPr>
      </w:pPr>
      <w:r w:rsidRPr="009512E7">
        <w:rPr>
          <w:rFonts w:cs="Calibri Light"/>
          <w:noProof/>
        </w:rPr>
        <w:t>Life Cycle</w:t>
      </w:r>
      <w:r>
        <w:rPr>
          <w:noProof/>
        </w:rPr>
        <w:tab/>
      </w:r>
      <w:r>
        <w:rPr>
          <w:noProof/>
        </w:rPr>
        <w:fldChar w:fldCharType="begin"/>
      </w:r>
      <w:r>
        <w:rPr>
          <w:noProof/>
        </w:rPr>
        <w:instrText xml:space="preserve"> PAGEREF _Toc64561068 \h </w:instrText>
      </w:r>
      <w:r>
        <w:rPr>
          <w:noProof/>
        </w:rPr>
      </w:r>
      <w:r>
        <w:rPr>
          <w:noProof/>
        </w:rPr>
        <w:fldChar w:fldCharType="separate"/>
      </w:r>
      <w:r w:rsidR="00E00D76">
        <w:rPr>
          <w:noProof/>
        </w:rPr>
        <w:t>17</w:t>
      </w:r>
      <w:r>
        <w:rPr>
          <w:noProof/>
        </w:rPr>
        <w:fldChar w:fldCharType="end"/>
      </w:r>
    </w:p>
    <w:p w14:paraId="38CCA447" w14:textId="4D1D9EB0" w:rsidR="00B5340F" w:rsidRDefault="00B5340F">
      <w:pPr>
        <w:pStyle w:val="TOC3"/>
        <w:rPr>
          <w:rFonts w:asciiTheme="minorHAnsi" w:hAnsiTheme="minorHAnsi"/>
          <w:noProof/>
          <w:szCs w:val="22"/>
        </w:rPr>
      </w:pPr>
      <w:r w:rsidRPr="009512E7">
        <w:rPr>
          <w:rFonts w:cs="Calibri Light"/>
          <w:noProof/>
        </w:rPr>
        <w:t>Base Case Material Cost ($/unit)</w:t>
      </w:r>
      <w:r>
        <w:rPr>
          <w:noProof/>
        </w:rPr>
        <w:tab/>
      </w:r>
      <w:r>
        <w:rPr>
          <w:noProof/>
        </w:rPr>
        <w:fldChar w:fldCharType="begin"/>
      </w:r>
      <w:r>
        <w:rPr>
          <w:noProof/>
        </w:rPr>
        <w:instrText xml:space="preserve"> PAGEREF _Toc64561069 \h </w:instrText>
      </w:r>
      <w:r>
        <w:rPr>
          <w:noProof/>
        </w:rPr>
      </w:r>
      <w:r>
        <w:rPr>
          <w:noProof/>
        </w:rPr>
        <w:fldChar w:fldCharType="separate"/>
      </w:r>
      <w:r w:rsidR="00E00D76">
        <w:rPr>
          <w:noProof/>
        </w:rPr>
        <w:t>17</w:t>
      </w:r>
      <w:r>
        <w:rPr>
          <w:noProof/>
        </w:rPr>
        <w:fldChar w:fldCharType="end"/>
      </w:r>
    </w:p>
    <w:p w14:paraId="1DC6FF94" w14:textId="19E962E3" w:rsidR="00B5340F" w:rsidRDefault="00B5340F">
      <w:pPr>
        <w:pStyle w:val="TOC3"/>
        <w:rPr>
          <w:rFonts w:asciiTheme="minorHAnsi" w:hAnsiTheme="minorHAnsi"/>
          <w:noProof/>
          <w:szCs w:val="22"/>
        </w:rPr>
      </w:pPr>
      <w:r w:rsidRPr="009512E7">
        <w:rPr>
          <w:rFonts w:cs="Calibri Light"/>
          <w:noProof/>
        </w:rPr>
        <w:t>Measure Case Material Cost ($/unit)</w:t>
      </w:r>
      <w:r>
        <w:rPr>
          <w:noProof/>
        </w:rPr>
        <w:tab/>
      </w:r>
      <w:r>
        <w:rPr>
          <w:noProof/>
        </w:rPr>
        <w:fldChar w:fldCharType="begin"/>
      </w:r>
      <w:r>
        <w:rPr>
          <w:noProof/>
        </w:rPr>
        <w:instrText xml:space="preserve"> PAGEREF _Toc64561070 \h </w:instrText>
      </w:r>
      <w:r>
        <w:rPr>
          <w:noProof/>
        </w:rPr>
      </w:r>
      <w:r>
        <w:rPr>
          <w:noProof/>
        </w:rPr>
        <w:fldChar w:fldCharType="separate"/>
      </w:r>
      <w:r w:rsidR="00E00D76">
        <w:rPr>
          <w:noProof/>
        </w:rPr>
        <w:t>18</w:t>
      </w:r>
      <w:r>
        <w:rPr>
          <w:noProof/>
        </w:rPr>
        <w:fldChar w:fldCharType="end"/>
      </w:r>
    </w:p>
    <w:p w14:paraId="764784B0" w14:textId="2E053B0F" w:rsidR="00B5340F" w:rsidRDefault="00B5340F">
      <w:pPr>
        <w:pStyle w:val="TOC3"/>
        <w:rPr>
          <w:rFonts w:asciiTheme="minorHAnsi" w:hAnsiTheme="minorHAnsi"/>
          <w:noProof/>
          <w:szCs w:val="22"/>
        </w:rPr>
      </w:pPr>
      <w:r w:rsidRPr="009512E7">
        <w:rPr>
          <w:rFonts w:cs="Calibri Light"/>
          <w:noProof/>
        </w:rPr>
        <w:t>Base Case Labor Cost ($/unit)</w:t>
      </w:r>
      <w:r>
        <w:rPr>
          <w:noProof/>
        </w:rPr>
        <w:tab/>
      </w:r>
      <w:r>
        <w:rPr>
          <w:noProof/>
        </w:rPr>
        <w:fldChar w:fldCharType="begin"/>
      </w:r>
      <w:r>
        <w:rPr>
          <w:noProof/>
        </w:rPr>
        <w:instrText xml:space="preserve"> PAGEREF _Toc64561071 \h </w:instrText>
      </w:r>
      <w:r>
        <w:rPr>
          <w:noProof/>
        </w:rPr>
      </w:r>
      <w:r>
        <w:rPr>
          <w:noProof/>
        </w:rPr>
        <w:fldChar w:fldCharType="separate"/>
      </w:r>
      <w:r w:rsidR="00E00D76">
        <w:rPr>
          <w:noProof/>
        </w:rPr>
        <w:t>20</w:t>
      </w:r>
      <w:r>
        <w:rPr>
          <w:noProof/>
        </w:rPr>
        <w:fldChar w:fldCharType="end"/>
      </w:r>
    </w:p>
    <w:p w14:paraId="30BA4F6C" w14:textId="3113EF22" w:rsidR="00B5340F" w:rsidRDefault="00B5340F">
      <w:pPr>
        <w:pStyle w:val="TOC3"/>
        <w:rPr>
          <w:rFonts w:asciiTheme="minorHAnsi" w:hAnsiTheme="minorHAnsi"/>
          <w:noProof/>
          <w:szCs w:val="22"/>
        </w:rPr>
      </w:pPr>
      <w:r w:rsidRPr="009512E7">
        <w:rPr>
          <w:rFonts w:cs="Calibri Light"/>
          <w:noProof/>
        </w:rPr>
        <w:t>Measure Case Labor Cost ($/unit)</w:t>
      </w:r>
      <w:r>
        <w:rPr>
          <w:noProof/>
        </w:rPr>
        <w:tab/>
      </w:r>
      <w:r>
        <w:rPr>
          <w:noProof/>
        </w:rPr>
        <w:fldChar w:fldCharType="begin"/>
      </w:r>
      <w:r>
        <w:rPr>
          <w:noProof/>
        </w:rPr>
        <w:instrText xml:space="preserve"> PAGEREF _Toc64561072 \h </w:instrText>
      </w:r>
      <w:r>
        <w:rPr>
          <w:noProof/>
        </w:rPr>
      </w:r>
      <w:r>
        <w:rPr>
          <w:noProof/>
        </w:rPr>
        <w:fldChar w:fldCharType="separate"/>
      </w:r>
      <w:r w:rsidR="00E00D76">
        <w:rPr>
          <w:noProof/>
        </w:rPr>
        <w:t>21</w:t>
      </w:r>
      <w:r>
        <w:rPr>
          <w:noProof/>
        </w:rPr>
        <w:fldChar w:fldCharType="end"/>
      </w:r>
    </w:p>
    <w:p w14:paraId="7685A2E5" w14:textId="2A822747" w:rsidR="00B5340F" w:rsidRDefault="00B5340F">
      <w:pPr>
        <w:pStyle w:val="TOC3"/>
        <w:rPr>
          <w:rFonts w:asciiTheme="minorHAnsi" w:hAnsiTheme="minorHAnsi"/>
          <w:noProof/>
          <w:szCs w:val="22"/>
        </w:rPr>
      </w:pPr>
      <w:r w:rsidRPr="009512E7">
        <w:rPr>
          <w:rFonts w:cs="Calibri Light"/>
          <w:noProof/>
        </w:rPr>
        <w:t>Net-to-Gross (NTG)</w:t>
      </w:r>
      <w:r>
        <w:rPr>
          <w:noProof/>
        </w:rPr>
        <w:tab/>
      </w:r>
      <w:r>
        <w:rPr>
          <w:noProof/>
        </w:rPr>
        <w:fldChar w:fldCharType="begin"/>
      </w:r>
      <w:r>
        <w:rPr>
          <w:noProof/>
        </w:rPr>
        <w:instrText xml:space="preserve"> PAGEREF _Toc64561073 \h </w:instrText>
      </w:r>
      <w:r>
        <w:rPr>
          <w:noProof/>
        </w:rPr>
      </w:r>
      <w:r>
        <w:rPr>
          <w:noProof/>
        </w:rPr>
        <w:fldChar w:fldCharType="separate"/>
      </w:r>
      <w:r w:rsidR="00E00D76">
        <w:rPr>
          <w:noProof/>
        </w:rPr>
        <w:t>22</w:t>
      </w:r>
      <w:r>
        <w:rPr>
          <w:noProof/>
        </w:rPr>
        <w:fldChar w:fldCharType="end"/>
      </w:r>
    </w:p>
    <w:p w14:paraId="7FC72206" w14:textId="7D0C597B" w:rsidR="00B5340F" w:rsidRDefault="00B5340F">
      <w:pPr>
        <w:pStyle w:val="TOC3"/>
        <w:rPr>
          <w:rFonts w:asciiTheme="minorHAnsi" w:hAnsiTheme="minorHAnsi"/>
          <w:noProof/>
          <w:szCs w:val="22"/>
        </w:rPr>
      </w:pPr>
      <w:r w:rsidRPr="009512E7">
        <w:rPr>
          <w:rFonts w:cs="Calibri Light"/>
          <w:noProof/>
        </w:rPr>
        <w:t>Gross Savings Installation Adjustment (GSIA)</w:t>
      </w:r>
      <w:r>
        <w:rPr>
          <w:noProof/>
        </w:rPr>
        <w:tab/>
      </w:r>
      <w:r>
        <w:rPr>
          <w:noProof/>
        </w:rPr>
        <w:fldChar w:fldCharType="begin"/>
      </w:r>
      <w:r>
        <w:rPr>
          <w:noProof/>
        </w:rPr>
        <w:instrText xml:space="preserve"> PAGEREF _Toc64561074 \h </w:instrText>
      </w:r>
      <w:r>
        <w:rPr>
          <w:noProof/>
        </w:rPr>
      </w:r>
      <w:r>
        <w:rPr>
          <w:noProof/>
        </w:rPr>
        <w:fldChar w:fldCharType="separate"/>
      </w:r>
      <w:r w:rsidR="00E00D76">
        <w:rPr>
          <w:noProof/>
        </w:rPr>
        <w:t>22</w:t>
      </w:r>
      <w:r>
        <w:rPr>
          <w:noProof/>
        </w:rPr>
        <w:fldChar w:fldCharType="end"/>
      </w:r>
    </w:p>
    <w:p w14:paraId="157143AF" w14:textId="51B99FA1" w:rsidR="00B5340F" w:rsidRDefault="00B5340F">
      <w:pPr>
        <w:pStyle w:val="TOC3"/>
        <w:rPr>
          <w:rFonts w:asciiTheme="minorHAnsi" w:hAnsiTheme="minorHAnsi"/>
          <w:noProof/>
          <w:szCs w:val="22"/>
        </w:rPr>
      </w:pPr>
      <w:r w:rsidRPr="009512E7">
        <w:rPr>
          <w:rFonts w:cs="Calibri Light"/>
          <w:noProof/>
        </w:rPr>
        <w:t>DEER Differences Analysis</w:t>
      </w:r>
      <w:r>
        <w:rPr>
          <w:noProof/>
        </w:rPr>
        <w:tab/>
      </w:r>
      <w:r>
        <w:rPr>
          <w:noProof/>
        </w:rPr>
        <w:fldChar w:fldCharType="begin"/>
      </w:r>
      <w:r>
        <w:rPr>
          <w:noProof/>
        </w:rPr>
        <w:instrText xml:space="preserve"> PAGEREF _Toc64561075 \h </w:instrText>
      </w:r>
      <w:r>
        <w:rPr>
          <w:noProof/>
        </w:rPr>
      </w:r>
      <w:r>
        <w:rPr>
          <w:noProof/>
        </w:rPr>
        <w:fldChar w:fldCharType="separate"/>
      </w:r>
      <w:r w:rsidR="00E00D76">
        <w:rPr>
          <w:noProof/>
        </w:rPr>
        <w:t>23</w:t>
      </w:r>
      <w:r>
        <w:rPr>
          <w:noProof/>
        </w:rPr>
        <w:fldChar w:fldCharType="end"/>
      </w:r>
    </w:p>
    <w:p w14:paraId="353E3BA9" w14:textId="4CC79A0A" w:rsidR="00B5340F" w:rsidRDefault="00B5340F">
      <w:pPr>
        <w:pStyle w:val="TOC3"/>
        <w:rPr>
          <w:rFonts w:asciiTheme="minorHAnsi" w:hAnsiTheme="minorHAnsi"/>
          <w:noProof/>
          <w:szCs w:val="22"/>
        </w:rPr>
      </w:pPr>
      <w:r w:rsidRPr="009512E7">
        <w:rPr>
          <w:rFonts w:cs="Calibri Light"/>
          <w:noProof/>
        </w:rPr>
        <w:t>Revision History</w:t>
      </w:r>
      <w:r>
        <w:rPr>
          <w:noProof/>
        </w:rPr>
        <w:tab/>
      </w:r>
      <w:r>
        <w:rPr>
          <w:noProof/>
        </w:rPr>
        <w:fldChar w:fldCharType="begin"/>
      </w:r>
      <w:r>
        <w:rPr>
          <w:noProof/>
        </w:rPr>
        <w:instrText xml:space="preserve"> PAGEREF _Toc64561076 \h </w:instrText>
      </w:r>
      <w:r>
        <w:rPr>
          <w:noProof/>
        </w:rPr>
      </w:r>
      <w:r>
        <w:rPr>
          <w:noProof/>
        </w:rPr>
        <w:fldChar w:fldCharType="separate"/>
      </w:r>
      <w:r w:rsidR="00E00D76">
        <w:rPr>
          <w:noProof/>
        </w:rPr>
        <w:t>23</w:t>
      </w:r>
      <w:r>
        <w:rPr>
          <w:noProof/>
        </w:rPr>
        <w:fldChar w:fldCharType="end"/>
      </w:r>
    </w:p>
    <w:p w14:paraId="17B2FE81" w14:textId="57F67E9A" w:rsidR="00375BD8" w:rsidRPr="00203ECA" w:rsidRDefault="00375BD8" w:rsidP="00B13E72">
      <w:pPr>
        <w:jc w:val="both"/>
      </w:pPr>
      <w:r w:rsidRPr="00203ECA">
        <w:fldChar w:fldCharType="end"/>
      </w:r>
    </w:p>
    <w:p w14:paraId="48DA4738" w14:textId="77777777" w:rsidR="00375BD8" w:rsidRPr="00203ECA" w:rsidRDefault="00375BD8" w:rsidP="00B13E72">
      <w:pPr>
        <w:pStyle w:val="eTRMHeading3"/>
        <w:jc w:val="both"/>
        <w:sectPr w:rsidR="00375BD8" w:rsidRPr="00203ECA" w:rsidSect="00375BD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78EB1D8F" w14:textId="77777777" w:rsidR="00375BD8" w:rsidRPr="00C6243E" w:rsidRDefault="00375BD8" w:rsidP="00B13E72">
      <w:pPr>
        <w:pStyle w:val="eTRMHeading3"/>
        <w:spacing w:before="20" w:after="20"/>
        <w:jc w:val="both"/>
        <w:rPr>
          <w:rFonts w:cs="Calibri Light"/>
        </w:rPr>
      </w:pPr>
      <w:bookmarkStart w:id="0" w:name="_Toc486490839"/>
      <w:bookmarkStart w:id="1" w:name="_Toc486580912"/>
      <w:bookmarkStart w:id="2" w:name="_Toc64561054"/>
      <w:r w:rsidRPr="00C6243E">
        <w:rPr>
          <w:rFonts w:cs="Calibri Light"/>
        </w:rPr>
        <w:lastRenderedPageBreak/>
        <w:t>Measure Name</w:t>
      </w:r>
      <w:bookmarkEnd w:id="0"/>
      <w:bookmarkEnd w:id="1"/>
      <w:bookmarkEnd w:id="2"/>
    </w:p>
    <w:p w14:paraId="0C32CDAA" w14:textId="2CC58985" w:rsidR="002A0671" w:rsidRPr="00C6243E" w:rsidRDefault="00CC3FAE" w:rsidP="00B13E72">
      <w:pPr>
        <w:spacing w:before="20" w:after="20" w:line="280" w:lineRule="exact"/>
        <w:jc w:val="both"/>
        <w:rPr>
          <w:rFonts w:cs="Calibri Light"/>
        </w:rPr>
      </w:pPr>
      <w:r>
        <w:rPr>
          <w:rFonts w:cs="Calibri Light"/>
        </w:rPr>
        <w:t>Ductless HVAC, Residential, Fuel Substitution</w:t>
      </w:r>
    </w:p>
    <w:p w14:paraId="3C07F830" w14:textId="77777777" w:rsidR="00375BD8" w:rsidRPr="00C6243E" w:rsidRDefault="00375BD8" w:rsidP="00B13E72">
      <w:pPr>
        <w:spacing w:before="20" w:after="20" w:line="280" w:lineRule="exact"/>
        <w:jc w:val="both"/>
        <w:rPr>
          <w:rFonts w:cs="Calibri Light"/>
        </w:rPr>
      </w:pPr>
    </w:p>
    <w:p w14:paraId="18C9187D" w14:textId="77777777" w:rsidR="00375BD8" w:rsidRPr="0043039C" w:rsidRDefault="00375BD8" w:rsidP="00B13E72">
      <w:pPr>
        <w:pStyle w:val="eTRMHeading3"/>
        <w:spacing w:before="20" w:after="20"/>
        <w:jc w:val="both"/>
        <w:rPr>
          <w:rFonts w:cs="Calibri Light"/>
        </w:rPr>
      </w:pPr>
      <w:bookmarkStart w:id="3" w:name="_Toc486490840"/>
      <w:bookmarkStart w:id="4" w:name="_Toc486580913"/>
      <w:bookmarkStart w:id="5" w:name="_Toc64561055"/>
      <w:r w:rsidRPr="00036074">
        <w:rPr>
          <w:rFonts w:cs="Calibri Light"/>
        </w:rPr>
        <w:t>Statewide Measure ID</w:t>
      </w:r>
      <w:bookmarkEnd w:id="3"/>
      <w:bookmarkEnd w:id="4"/>
      <w:bookmarkEnd w:id="5"/>
    </w:p>
    <w:p w14:paraId="75BD3F16" w14:textId="2600526D" w:rsidR="00375BD8" w:rsidRPr="00820047" w:rsidRDefault="00375BD8" w:rsidP="00B13E72">
      <w:pPr>
        <w:spacing w:before="20" w:after="20" w:line="280" w:lineRule="exact"/>
        <w:jc w:val="both"/>
        <w:rPr>
          <w:rFonts w:cs="Calibri Light"/>
          <w:i/>
          <w:color w:val="808080" w:themeColor="background1" w:themeShade="80"/>
        </w:rPr>
      </w:pPr>
      <w:r w:rsidRPr="00820047">
        <w:rPr>
          <w:rFonts w:cs="Calibri Light"/>
          <w:i/>
          <w:color w:val="808080" w:themeColor="background1" w:themeShade="80"/>
        </w:rPr>
        <w:t>SW</w:t>
      </w:r>
      <w:r w:rsidR="0052757B">
        <w:rPr>
          <w:rFonts w:cs="Calibri Light"/>
          <w:i/>
          <w:color w:val="808080" w:themeColor="background1" w:themeShade="80"/>
        </w:rPr>
        <w:t>HC</w:t>
      </w:r>
      <w:r w:rsidR="00BE3DA5">
        <w:rPr>
          <w:rFonts w:cs="Calibri Light"/>
          <w:i/>
          <w:color w:val="808080" w:themeColor="background1" w:themeShade="80"/>
        </w:rPr>
        <w:t>044</w:t>
      </w:r>
      <w:r w:rsidR="00BE6010" w:rsidRPr="00820047">
        <w:rPr>
          <w:rFonts w:cs="Calibri Light"/>
          <w:i/>
          <w:color w:val="808080" w:themeColor="background1" w:themeShade="80"/>
        </w:rPr>
        <w:t>-</w:t>
      </w:r>
      <w:r w:rsidR="007363AD" w:rsidRPr="00820047">
        <w:rPr>
          <w:rFonts w:cs="Calibri Light"/>
          <w:i/>
          <w:color w:val="808080" w:themeColor="background1" w:themeShade="80"/>
        </w:rPr>
        <w:t>0</w:t>
      </w:r>
      <w:r w:rsidR="007363AD">
        <w:rPr>
          <w:rFonts w:cs="Calibri Light"/>
          <w:i/>
          <w:color w:val="808080" w:themeColor="background1" w:themeShade="80"/>
        </w:rPr>
        <w:t>2</w:t>
      </w:r>
    </w:p>
    <w:p w14:paraId="4B61562C" w14:textId="77777777" w:rsidR="00375BD8" w:rsidRPr="00C6243E" w:rsidRDefault="00375BD8" w:rsidP="00B13E72">
      <w:pPr>
        <w:pStyle w:val="TableFootnote"/>
        <w:jc w:val="both"/>
        <w:rPr>
          <w:rFonts w:cs="Calibri Light"/>
        </w:rPr>
      </w:pPr>
    </w:p>
    <w:p w14:paraId="7033AFE5" w14:textId="77777777" w:rsidR="00375BD8" w:rsidRPr="00C6243E" w:rsidRDefault="00375BD8" w:rsidP="00B13E72">
      <w:pPr>
        <w:pStyle w:val="eTRMHeading3"/>
        <w:jc w:val="both"/>
        <w:rPr>
          <w:rFonts w:cs="Calibri Light"/>
        </w:rPr>
      </w:pPr>
      <w:bookmarkStart w:id="6" w:name="_Toc486490847"/>
      <w:bookmarkStart w:id="7" w:name="_Toc486580918"/>
      <w:bookmarkStart w:id="8" w:name="_Toc64561056"/>
      <w:r w:rsidRPr="00C6243E">
        <w:rPr>
          <w:rFonts w:cs="Calibri Light"/>
        </w:rPr>
        <w:t>Technology Summary</w:t>
      </w:r>
      <w:bookmarkEnd w:id="6"/>
      <w:bookmarkEnd w:id="7"/>
      <w:bookmarkEnd w:id="8"/>
      <w:r w:rsidRPr="00C6243E">
        <w:rPr>
          <w:rFonts w:cs="Calibri Light"/>
        </w:rPr>
        <w:t xml:space="preserve"> </w:t>
      </w:r>
    </w:p>
    <w:p w14:paraId="6C20B175" w14:textId="644BD48C" w:rsidR="00400075" w:rsidRDefault="00A033DD" w:rsidP="005B375B">
      <w:pPr>
        <w:pStyle w:val="Default"/>
        <w:jc w:val="both"/>
        <w:rPr>
          <w:color w:val="auto"/>
          <w:sz w:val="22"/>
        </w:rPr>
      </w:pPr>
      <w:r w:rsidRPr="00E51366">
        <w:rPr>
          <w:color w:val="auto"/>
          <w:sz w:val="22"/>
        </w:rPr>
        <w:t>Wall furnace</w:t>
      </w:r>
      <w:r w:rsidR="00CA72B5" w:rsidRPr="00E51366">
        <w:rPr>
          <w:color w:val="auto"/>
          <w:sz w:val="22"/>
        </w:rPr>
        <w:t>s</w:t>
      </w:r>
      <w:r w:rsidR="00FA2BAF" w:rsidRPr="00E51366">
        <w:rPr>
          <w:color w:val="auto"/>
          <w:sz w:val="22"/>
        </w:rPr>
        <w:t xml:space="preserve"> </w:t>
      </w:r>
      <w:r w:rsidRPr="00E51366">
        <w:rPr>
          <w:color w:val="auto"/>
          <w:sz w:val="22"/>
        </w:rPr>
        <w:t>and window air conditioner</w:t>
      </w:r>
      <w:r w:rsidR="00CA72B5" w:rsidRPr="00E51366">
        <w:rPr>
          <w:color w:val="auto"/>
          <w:sz w:val="22"/>
        </w:rPr>
        <w:t>s</w:t>
      </w:r>
      <w:r w:rsidR="00F20BE4" w:rsidRPr="00E51366">
        <w:rPr>
          <w:color w:val="auto"/>
          <w:sz w:val="22"/>
        </w:rPr>
        <w:t xml:space="preserve"> are </w:t>
      </w:r>
      <w:r w:rsidR="009471B9">
        <w:rPr>
          <w:color w:val="auto"/>
          <w:sz w:val="22"/>
        </w:rPr>
        <w:t>in-</w:t>
      </w:r>
      <w:r w:rsidR="00400075">
        <w:rPr>
          <w:color w:val="auto"/>
          <w:sz w:val="22"/>
        </w:rPr>
        <w:t xml:space="preserve">zone HVAC systems </w:t>
      </w:r>
      <w:r w:rsidR="00F20BE4" w:rsidRPr="00E51366">
        <w:rPr>
          <w:color w:val="auto"/>
          <w:sz w:val="22"/>
        </w:rPr>
        <w:t>designed to heat and cool a space to provide thermal comfort.</w:t>
      </w:r>
      <w:r w:rsidR="005B375B" w:rsidRPr="00E51366">
        <w:rPr>
          <w:color w:val="auto"/>
          <w:sz w:val="22"/>
        </w:rPr>
        <w:t xml:space="preserve"> Natural gas wall furnaces are </w:t>
      </w:r>
      <w:r w:rsidR="00400075">
        <w:rPr>
          <w:color w:val="auto"/>
          <w:sz w:val="22"/>
        </w:rPr>
        <w:t xml:space="preserve">ductless systems </w:t>
      </w:r>
      <w:r w:rsidR="005B375B" w:rsidRPr="00E51366">
        <w:rPr>
          <w:color w:val="auto"/>
          <w:sz w:val="22"/>
        </w:rPr>
        <w:t>i</w:t>
      </w:r>
      <w:r w:rsidR="009471B9">
        <w:rPr>
          <w:color w:val="auto"/>
          <w:sz w:val="22"/>
        </w:rPr>
        <w:t>nstalled directly into the wall</w:t>
      </w:r>
      <w:r w:rsidR="005B375B" w:rsidRPr="00E51366">
        <w:rPr>
          <w:color w:val="auto"/>
          <w:sz w:val="22"/>
        </w:rPr>
        <w:t xml:space="preserve">. Air from the immediate </w:t>
      </w:r>
      <w:r w:rsidR="00400075">
        <w:rPr>
          <w:color w:val="auto"/>
          <w:sz w:val="22"/>
        </w:rPr>
        <w:t>area</w:t>
      </w:r>
      <w:r w:rsidR="005B375B" w:rsidRPr="00E51366">
        <w:rPr>
          <w:color w:val="auto"/>
          <w:sz w:val="22"/>
        </w:rPr>
        <w:t xml:space="preserve"> </w:t>
      </w:r>
      <w:r w:rsidR="00400075">
        <w:rPr>
          <w:color w:val="auto"/>
          <w:sz w:val="22"/>
        </w:rPr>
        <w:t>is</w:t>
      </w:r>
      <w:r w:rsidR="005B375B" w:rsidRPr="00E51366">
        <w:rPr>
          <w:color w:val="auto"/>
          <w:sz w:val="22"/>
        </w:rPr>
        <w:t xml:space="preserve"> drawn into the heat exchanger and becomes warm. This air is then distributed to the space through </w:t>
      </w:r>
      <w:r w:rsidR="009471B9">
        <w:rPr>
          <w:color w:val="auto"/>
          <w:sz w:val="22"/>
        </w:rPr>
        <w:t>(</w:t>
      </w:r>
      <w:r w:rsidR="005B375B" w:rsidRPr="00E51366">
        <w:rPr>
          <w:color w:val="auto"/>
          <w:sz w:val="22"/>
        </w:rPr>
        <w:t>convection</w:t>
      </w:r>
      <w:r w:rsidR="009471B9">
        <w:rPr>
          <w:color w:val="auto"/>
          <w:sz w:val="22"/>
        </w:rPr>
        <w:t>) heat transfer</w:t>
      </w:r>
      <w:r w:rsidR="005B375B" w:rsidRPr="00E51366">
        <w:rPr>
          <w:color w:val="auto"/>
          <w:sz w:val="22"/>
        </w:rPr>
        <w:t>.</w:t>
      </w:r>
      <w:r w:rsidR="00AB65F8">
        <w:rPr>
          <w:color w:val="auto"/>
          <w:sz w:val="22"/>
        </w:rPr>
        <w:t xml:space="preserve"> </w:t>
      </w:r>
    </w:p>
    <w:p w14:paraId="12F2C782" w14:textId="77777777" w:rsidR="00400075" w:rsidRDefault="00400075" w:rsidP="005B375B">
      <w:pPr>
        <w:pStyle w:val="Default"/>
        <w:jc w:val="both"/>
        <w:rPr>
          <w:color w:val="auto"/>
          <w:sz w:val="22"/>
        </w:rPr>
      </w:pPr>
    </w:p>
    <w:p w14:paraId="0CA56780" w14:textId="472BD463" w:rsidR="005B375B" w:rsidRPr="00E51366" w:rsidRDefault="005B375B" w:rsidP="005B375B">
      <w:pPr>
        <w:pStyle w:val="Default"/>
        <w:jc w:val="both"/>
        <w:rPr>
          <w:color w:val="auto"/>
          <w:sz w:val="22"/>
        </w:rPr>
      </w:pPr>
      <w:r w:rsidRPr="00E51366">
        <w:rPr>
          <w:color w:val="auto"/>
          <w:sz w:val="22"/>
        </w:rPr>
        <w:t xml:space="preserve">Electric window air conditioners are </w:t>
      </w:r>
      <w:r w:rsidR="00400075">
        <w:rPr>
          <w:color w:val="auto"/>
          <w:sz w:val="22"/>
        </w:rPr>
        <w:t xml:space="preserve">packaged systems </w:t>
      </w:r>
      <w:r w:rsidRPr="00E51366">
        <w:rPr>
          <w:color w:val="auto"/>
          <w:sz w:val="22"/>
        </w:rPr>
        <w:t xml:space="preserve">installed directly in open windows. Window air conditioners use </w:t>
      </w:r>
      <w:r w:rsidR="00740400">
        <w:rPr>
          <w:color w:val="auto"/>
          <w:sz w:val="22"/>
        </w:rPr>
        <w:t xml:space="preserve">HVAC </w:t>
      </w:r>
      <w:r w:rsidRPr="00E51366">
        <w:rPr>
          <w:color w:val="auto"/>
          <w:sz w:val="22"/>
        </w:rPr>
        <w:t xml:space="preserve">refrigeration principles to extract heat from air in the immediate space. The main interior side components consist of an evaporator, fan blower, and filter while the main exterior side components consist of a compressor, condenser coil, and propeller fan. The fan blower pulls in warm room air and moves it through a filter, removing unwanted particles. As the blower pushes the warm air across the evaporator, heat is absorbed through the refrigerant and air is cooled. This cooled air is blown out through the front panel and into the space. The heat drawn from the interior is dissipated outside as the fan blows the air over the condenser. </w:t>
      </w:r>
    </w:p>
    <w:p w14:paraId="0161F895" w14:textId="77777777" w:rsidR="00B60EA2" w:rsidRDefault="00B60EA2" w:rsidP="00B13E72">
      <w:pPr>
        <w:pStyle w:val="NoSpacing"/>
        <w:jc w:val="both"/>
        <w:rPr>
          <w:rFonts w:ascii="Calibri Light" w:eastAsiaTheme="minorEastAsia" w:hAnsi="Calibri Light" w:cs="Calibri Light"/>
          <w:szCs w:val="24"/>
        </w:rPr>
      </w:pPr>
    </w:p>
    <w:p w14:paraId="5CADCFAE" w14:textId="7566E368" w:rsidR="00815D74" w:rsidRDefault="00A92DF1" w:rsidP="00B13E72">
      <w:pPr>
        <w:pStyle w:val="NoSpacing"/>
        <w:jc w:val="both"/>
        <w:rPr>
          <w:rFonts w:ascii="Calibri Light" w:eastAsiaTheme="minorEastAsia" w:hAnsi="Calibri Light" w:cs="Calibri Light"/>
          <w:szCs w:val="24"/>
        </w:rPr>
      </w:pPr>
      <w:r>
        <w:rPr>
          <w:rFonts w:ascii="Calibri Light" w:eastAsiaTheme="minorEastAsia" w:hAnsi="Calibri Light" w:cs="Calibri Light"/>
          <w:szCs w:val="24"/>
        </w:rPr>
        <w:t>W</w:t>
      </w:r>
      <w:r w:rsidR="00815D74">
        <w:rPr>
          <w:rFonts w:ascii="Calibri Light" w:eastAsiaTheme="minorEastAsia" w:hAnsi="Calibri Light" w:cs="Calibri Light"/>
          <w:szCs w:val="24"/>
        </w:rPr>
        <w:t>all furnace and window air conditioner unit</w:t>
      </w:r>
      <w:r>
        <w:rPr>
          <w:rFonts w:ascii="Calibri Light" w:eastAsiaTheme="minorEastAsia" w:hAnsi="Calibri Light" w:cs="Calibri Light"/>
          <w:szCs w:val="24"/>
        </w:rPr>
        <w:t xml:space="preserve"> systems</w:t>
      </w:r>
      <w:r w:rsidR="00815D74">
        <w:rPr>
          <w:rFonts w:ascii="Calibri Light" w:eastAsiaTheme="minorEastAsia" w:hAnsi="Calibri Light" w:cs="Calibri Light"/>
          <w:szCs w:val="24"/>
        </w:rPr>
        <w:t xml:space="preserve"> can be replaced with more </w:t>
      </w:r>
      <w:r w:rsidR="009C6A5D">
        <w:rPr>
          <w:rFonts w:ascii="Calibri Light" w:eastAsiaTheme="minorEastAsia" w:hAnsi="Calibri Light" w:cs="Calibri Light"/>
          <w:szCs w:val="24"/>
        </w:rPr>
        <w:t xml:space="preserve">energy </w:t>
      </w:r>
      <w:r w:rsidR="00815D74">
        <w:rPr>
          <w:rFonts w:ascii="Calibri Light" w:eastAsiaTheme="minorEastAsia" w:hAnsi="Calibri Light" w:cs="Calibri Light"/>
          <w:szCs w:val="24"/>
        </w:rPr>
        <w:t>efficient mini-split heat pumps</w:t>
      </w:r>
      <w:r w:rsidR="00CA72B5">
        <w:rPr>
          <w:rFonts w:ascii="Calibri Light" w:eastAsiaTheme="minorEastAsia" w:hAnsi="Calibri Light" w:cs="Calibri Light"/>
          <w:szCs w:val="24"/>
        </w:rPr>
        <w:t xml:space="preserve">. </w:t>
      </w:r>
      <w:r w:rsidR="005B375B">
        <w:rPr>
          <w:rFonts w:ascii="Calibri Light" w:eastAsiaTheme="minorEastAsia" w:hAnsi="Calibri Light" w:cs="Calibri Light"/>
          <w:szCs w:val="24"/>
        </w:rPr>
        <w:t>Mini</w:t>
      </w:r>
      <w:r w:rsidR="005B375B" w:rsidRPr="00E51366">
        <w:rPr>
          <w:rFonts w:ascii="Calibri Light" w:eastAsiaTheme="minorEastAsia" w:hAnsi="Calibri Light" w:cs="Calibri Light"/>
          <w:szCs w:val="24"/>
        </w:rPr>
        <w:t>-split heat pumps are</w:t>
      </w:r>
      <w:r w:rsidR="00333DD5">
        <w:rPr>
          <w:rFonts w:ascii="Calibri Light" w:eastAsiaTheme="minorEastAsia" w:hAnsi="Calibri Light" w:cs="Calibri Light"/>
          <w:szCs w:val="24"/>
        </w:rPr>
        <w:t xml:space="preserve"> </w:t>
      </w:r>
      <w:r w:rsidR="005B375B" w:rsidRPr="00E51366">
        <w:rPr>
          <w:rFonts w:ascii="Calibri Light" w:eastAsiaTheme="minorEastAsia" w:hAnsi="Calibri Light" w:cs="Calibri Light"/>
          <w:szCs w:val="24"/>
        </w:rPr>
        <w:t xml:space="preserve">all electric </w:t>
      </w:r>
      <w:r w:rsidR="00333DD5">
        <w:rPr>
          <w:rFonts w:ascii="Calibri Light" w:eastAsiaTheme="minorEastAsia" w:hAnsi="Calibri Light" w:cs="Calibri Light"/>
          <w:szCs w:val="24"/>
        </w:rPr>
        <w:t xml:space="preserve">ductless </w:t>
      </w:r>
      <w:r w:rsidR="005B375B" w:rsidRPr="00E51366">
        <w:rPr>
          <w:rFonts w:ascii="Calibri Light" w:eastAsiaTheme="minorEastAsia" w:hAnsi="Calibri Light" w:cs="Calibri Light"/>
          <w:szCs w:val="24"/>
        </w:rPr>
        <w:t xml:space="preserve">heating and cooling systems that control the temperature in individual </w:t>
      </w:r>
      <w:r w:rsidR="00400075">
        <w:rPr>
          <w:rFonts w:ascii="Calibri Light" w:eastAsiaTheme="minorEastAsia" w:hAnsi="Calibri Light" w:cs="Calibri Light"/>
          <w:szCs w:val="24"/>
        </w:rPr>
        <w:t xml:space="preserve">or multiple </w:t>
      </w:r>
      <w:r w:rsidR="005B375B" w:rsidRPr="00E51366">
        <w:rPr>
          <w:rFonts w:ascii="Calibri Light" w:eastAsiaTheme="minorEastAsia" w:hAnsi="Calibri Light" w:cs="Calibri Light"/>
          <w:szCs w:val="24"/>
        </w:rPr>
        <w:t>rooms. A mini-split system is comprised of two main components: an indoor air-handling unit and an outdoor heat pump. The indoor unit includes a fan and an evaporator coil while the outdoor unit includes a compressor, condensing coil, and fan. The indoor and outdoor units are linked via a conduit, which encases the power cable, refrigerant and suction tubing, and a condensation drain line. Mini-split</w:t>
      </w:r>
      <w:r w:rsidR="003E555C">
        <w:rPr>
          <w:rFonts w:ascii="Calibri Light" w:eastAsiaTheme="minorEastAsia" w:hAnsi="Calibri Light" w:cs="Calibri Light"/>
          <w:szCs w:val="24"/>
        </w:rPr>
        <w:t xml:space="preserve"> heat pumps</w:t>
      </w:r>
      <w:r w:rsidR="005B375B" w:rsidRPr="00E51366">
        <w:rPr>
          <w:rFonts w:ascii="Calibri Light" w:eastAsiaTheme="minorEastAsia" w:hAnsi="Calibri Light" w:cs="Calibri Light"/>
          <w:szCs w:val="24"/>
        </w:rPr>
        <w:t xml:space="preserve"> pull heat from the inside air and move it outside</w:t>
      </w:r>
      <w:r w:rsidR="00400075">
        <w:rPr>
          <w:rFonts w:ascii="Calibri Light" w:eastAsiaTheme="minorEastAsia" w:hAnsi="Calibri Light" w:cs="Calibri Light"/>
          <w:szCs w:val="24"/>
        </w:rPr>
        <w:t xml:space="preserve"> via the refrigerant</w:t>
      </w:r>
      <w:r w:rsidR="005B375B" w:rsidRPr="00E51366">
        <w:rPr>
          <w:rFonts w:ascii="Calibri Light" w:eastAsiaTheme="minorEastAsia" w:hAnsi="Calibri Light" w:cs="Calibri Light"/>
          <w:szCs w:val="24"/>
        </w:rPr>
        <w:t xml:space="preserve"> to provide cooling. Conversely, they extract heat from the outside and move it inside to heat the space by compressing and expanding the refrigerant.</w:t>
      </w:r>
      <w:r w:rsidR="005B375B" w:rsidRPr="00E51366" w:rsidDel="00701945">
        <w:rPr>
          <w:rFonts w:ascii="Calibri Light" w:eastAsiaTheme="minorEastAsia" w:hAnsi="Calibri Light" w:cs="Calibri Light"/>
          <w:szCs w:val="24"/>
        </w:rPr>
        <w:t xml:space="preserve"> </w:t>
      </w:r>
      <w:r w:rsidR="005B375B" w:rsidRPr="00E51366">
        <w:rPr>
          <w:rFonts w:ascii="Calibri Light" w:eastAsiaTheme="minorEastAsia" w:hAnsi="Calibri Light" w:cs="Calibri Light"/>
          <w:szCs w:val="24"/>
        </w:rPr>
        <w:t>Mini-splits also typically have no ducts, reducing a large amount of energy lost through leaks and cracks in the duct systems.</w:t>
      </w:r>
      <w:r w:rsidR="005B375B" w:rsidDel="005B375B">
        <w:rPr>
          <w:rFonts w:ascii="Calibri Light" w:eastAsiaTheme="minorEastAsia" w:hAnsi="Calibri Light" w:cs="Calibri Light"/>
          <w:szCs w:val="24"/>
        </w:rPr>
        <w:t xml:space="preserve"> </w:t>
      </w:r>
    </w:p>
    <w:p w14:paraId="0595683A" w14:textId="77777777" w:rsidR="003921C5" w:rsidRDefault="003921C5" w:rsidP="00B13E72">
      <w:pPr>
        <w:pStyle w:val="NoSpacing"/>
        <w:jc w:val="both"/>
        <w:rPr>
          <w:rFonts w:ascii="Calibri Light" w:eastAsiaTheme="minorEastAsia" w:hAnsi="Calibri Light" w:cs="Calibri Light"/>
          <w:szCs w:val="24"/>
        </w:rPr>
      </w:pPr>
    </w:p>
    <w:p w14:paraId="344B876E" w14:textId="072EF563" w:rsidR="00B13E72" w:rsidRDefault="003921C5" w:rsidP="00B13E72">
      <w:pPr>
        <w:pStyle w:val="NoSpacing"/>
        <w:jc w:val="both"/>
        <w:rPr>
          <w:rFonts w:ascii="Calibri Light" w:eastAsiaTheme="minorEastAsia" w:hAnsi="Calibri Light" w:cs="Calibri Light"/>
          <w:szCs w:val="24"/>
        </w:rPr>
      </w:pPr>
      <w:r>
        <w:rPr>
          <w:rFonts w:ascii="Calibri Light" w:eastAsiaTheme="minorEastAsia" w:hAnsi="Calibri Light" w:cs="Calibri Light"/>
          <w:szCs w:val="24"/>
        </w:rPr>
        <w:t xml:space="preserve">Efficiency </w:t>
      </w:r>
      <w:r w:rsidR="005E07C4">
        <w:rPr>
          <w:rFonts w:ascii="Calibri Light" w:eastAsiaTheme="minorEastAsia" w:hAnsi="Calibri Light" w:cs="Calibri Light"/>
          <w:szCs w:val="24"/>
        </w:rPr>
        <w:t xml:space="preserve">for these technologies </w:t>
      </w:r>
      <w:r>
        <w:rPr>
          <w:rFonts w:ascii="Calibri Light" w:eastAsiaTheme="minorEastAsia" w:hAnsi="Calibri Light" w:cs="Calibri Light"/>
          <w:szCs w:val="24"/>
        </w:rPr>
        <w:t xml:space="preserve">is measured based on the </w:t>
      </w:r>
      <w:r w:rsidR="00F20BE4" w:rsidRPr="00F20BE4">
        <w:rPr>
          <w:rFonts w:ascii="Calibri Light" w:eastAsiaTheme="minorEastAsia" w:hAnsi="Calibri Light" w:cs="Calibri Light"/>
          <w:szCs w:val="24"/>
        </w:rPr>
        <w:t xml:space="preserve">Annual Fuel Utilization Efficiency (AFUE) rating, </w:t>
      </w:r>
      <w:r w:rsidR="00A033DD" w:rsidRPr="00F20BE4">
        <w:rPr>
          <w:rFonts w:ascii="Calibri Light" w:eastAsiaTheme="minorEastAsia" w:hAnsi="Calibri Light" w:cs="Calibri Light"/>
          <w:szCs w:val="24"/>
        </w:rPr>
        <w:t>Heating Season Performance Factor (HSPF)</w:t>
      </w:r>
      <w:r w:rsidR="00F20BE4" w:rsidRPr="00F20BE4">
        <w:rPr>
          <w:rFonts w:ascii="Calibri Light" w:eastAsiaTheme="minorEastAsia" w:hAnsi="Calibri Light" w:cs="Calibri Light"/>
          <w:szCs w:val="24"/>
        </w:rPr>
        <w:t>,</w:t>
      </w:r>
      <w:r w:rsidR="00A033DD" w:rsidRPr="00F20BE4">
        <w:rPr>
          <w:rFonts w:ascii="Calibri Light" w:eastAsiaTheme="minorEastAsia" w:hAnsi="Calibri Light" w:cs="Calibri Light"/>
          <w:szCs w:val="24"/>
        </w:rPr>
        <w:t xml:space="preserve"> Seasonal Energy Efficiency Ratio (SEER</w:t>
      </w:r>
      <w:r>
        <w:rPr>
          <w:rFonts w:ascii="Calibri Light" w:eastAsiaTheme="minorEastAsia" w:hAnsi="Calibri Light" w:cs="Calibri Light"/>
          <w:szCs w:val="24"/>
        </w:rPr>
        <w:t xml:space="preserve">), and </w:t>
      </w:r>
      <w:r w:rsidR="00A033DD" w:rsidRPr="00F20BE4">
        <w:rPr>
          <w:rFonts w:ascii="Calibri Light" w:eastAsiaTheme="minorEastAsia" w:hAnsi="Calibri Light" w:cs="Calibri Light"/>
          <w:szCs w:val="24"/>
        </w:rPr>
        <w:t>Energy Efficiency Ratio (EER</w:t>
      </w:r>
      <w:r>
        <w:rPr>
          <w:rFonts w:ascii="Calibri Light" w:eastAsiaTheme="minorEastAsia" w:hAnsi="Calibri Light" w:cs="Calibri Light"/>
          <w:szCs w:val="24"/>
        </w:rPr>
        <w:t>). AFU</w:t>
      </w:r>
      <w:r w:rsidR="00D80BA4">
        <w:rPr>
          <w:rFonts w:ascii="Calibri Light" w:eastAsiaTheme="minorEastAsia" w:hAnsi="Calibri Light" w:cs="Calibri Light"/>
          <w:szCs w:val="24"/>
        </w:rPr>
        <w:t xml:space="preserve">E measures the gas furnace’s efficiency in converting fuel to energy. </w:t>
      </w:r>
      <w:r w:rsidR="003E555C" w:rsidRPr="003E555C">
        <w:rPr>
          <w:rFonts w:ascii="Calibri Light" w:eastAsiaTheme="minorEastAsia" w:hAnsi="Calibri Light" w:cs="Calibri Light"/>
          <w:szCs w:val="24"/>
        </w:rPr>
        <w:t>The AFUE is expressed as the percentage of the energy transformed into usable heat</w:t>
      </w:r>
      <w:r w:rsidR="00D80BA4">
        <w:rPr>
          <w:rFonts w:ascii="Calibri Light" w:eastAsiaTheme="minorEastAsia" w:hAnsi="Calibri Light" w:cs="Calibri Light"/>
          <w:szCs w:val="24"/>
        </w:rPr>
        <w:t xml:space="preserve">. HSPF is the ratio of the amount of heat output </w:t>
      </w:r>
      <w:r w:rsidR="005B375B">
        <w:rPr>
          <w:rFonts w:ascii="Calibri Light" w:eastAsiaTheme="minorEastAsia" w:hAnsi="Calibri Light" w:cs="Calibri Light"/>
          <w:szCs w:val="24"/>
        </w:rPr>
        <w:t>transferred</w:t>
      </w:r>
      <w:r w:rsidR="00D80BA4">
        <w:rPr>
          <w:rFonts w:ascii="Calibri Light" w:eastAsiaTheme="minorEastAsia" w:hAnsi="Calibri Light" w:cs="Calibri Light"/>
          <w:szCs w:val="24"/>
        </w:rPr>
        <w:t xml:space="preserve"> </w:t>
      </w:r>
      <w:r w:rsidR="005E07C4">
        <w:rPr>
          <w:rFonts w:ascii="Calibri Light" w:eastAsiaTheme="minorEastAsia" w:hAnsi="Calibri Light" w:cs="Calibri Light"/>
          <w:szCs w:val="24"/>
        </w:rPr>
        <w:t>during the heating season per</w:t>
      </w:r>
      <w:r w:rsidR="00D80BA4">
        <w:rPr>
          <w:rFonts w:ascii="Calibri Light" w:eastAsiaTheme="minorEastAsia" w:hAnsi="Calibri Light" w:cs="Calibri Light"/>
          <w:szCs w:val="24"/>
        </w:rPr>
        <w:t xml:space="preserve"> on each unit of electricity used. A more efficient heat pump </w:t>
      </w:r>
      <w:r w:rsidR="00194249">
        <w:rPr>
          <w:rFonts w:ascii="Calibri Light" w:eastAsiaTheme="minorEastAsia" w:hAnsi="Calibri Light" w:cs="Calibri Light"/>
          <w:szCs w:val="24"/>
        </w:rPr>
        <w:t>has</w:t>
      </w:r>
      <w:r w:rsidR="00D80BA4">
        <w:rPr>
          <w:rFonts w:ascii="Calibri Light" w:eastAsiaTheme="minorEastAsia" w:hAnsi="Calibri Light" w:cs="Calibri Light"/>
          <w:szCs w:val="24"/>
        </w:rPr>
        <w:t xml:space="preserve"> a higher HSPF rating. SEER and EER measure air conditioning and heat pump cooling efficiency. SEER is calculated by the cooling output for a typical cooling season divided by the total electric energy used during that same time. EER does not account</w:t>
      </w:r>
      <w:r w:rsidR="006C637E">
        <w:rPr>
          <w:rFonts w:ascii="Calibri Light" w:eastAsiaTheme="minorEastAsia" w:hAnsi="Calibri Light" w:cs="Calibri Light"/>
          <w:szCs w:val="24"/>
        </w:rPr>
        <w:t xml:space="preserve"> for</w:t>
      </w:r>
      <w:r w:rsidR="00D80BA4">
        <w:rPr>
          <w:rFonts w:ascii="Calibri Light" w:eastAsiaTheme="minorEastAsia" w:hAnsi="Calibri Light" w:cs="Calibri Light"/>
          <w:szCs w:val="24"/>
        </w:rPr>
        <w:t xml:space="preserve"> the varying temperatures during the cooling season; it measures the efficiency at only one peak cooling temperature. A unit with a higher SEER or EER </w:t>
      </w:r>
      <w:r w:rsidR="00194249">
        <w:rPr>
          <w:rFonts w:ascii="Calibri Light" w:eastAsiaTheme="minorEastAsia" w:hAnsi="Calibri Light" w:cs="Calibri Light"/>
          <w:szCs w:val="24"/>
        </w:rPr>
        <w:t xml:space="preserve">is </w:t>
      </w:r>
      <w:r w:rsidR="00D80BA4">
        <w:rPr>
          <w:rFonts w:ascii="Calibri Light" w:eastAsiaTheme="minorEastAsia" w:hAnsi="Calibri Light" w:cs="Calibri Light"/>
          <w:szCs w:val="24"/>
        </w:rPr>
        <w:t xml:space="preserve">more efficient. </w:t>
      </w:r>
    </w:p>
    <w:p w14:paraId="67EFC49A" w14:textId="77777777" w:rsidR="00B13E72" w:rsidRPr="00250D01" w:rsidRDefault="00B13E72" w:rsidP="00B13E72">
      <w:pPr>
        <w:pStyle w:val="NoSpacing"/>
        <w:jc w:val="both"/>
        <w:rPr>
          <w:iCs/>
        </w:rPr>
      </w:pPr>
    </w:p>
    <w:p w14:paraId="12714275" w14:textId="77777777" w:rsidR="00375BD8" w:rsidRPr="00C6243E" w:rsidRDefault="00375BD8" w:rsidP="00B13E72">
      <w:pPr>
        <w:pStyle w:val="eTRMHeading3"/>
        <w:jc w:val="both"/>
        <w:rPr>
          <w:rFonts w:cs="Calibri Light"/>
        </w:rPr>
      </w:pPr>
      <w:bookmarkStart w:id="9" w:name="_Toc486490848"/>
      <w:bookmarkStart w:id="10" w:name="_Toc486580919"/>
      <w:bookmarkStart w:id="11" w:name="_Toc64561057"/>
      <w:r w:rsidRPr="00C6243E">
        <w:rPr>
          <w:rFonts w:cs="Calibri Light"/>
        </w:rPr>
        <w:t>Measure Case Description</w:t>
      </w:r>
      <w:bookmarkEnd w:id="9"/>
      <w:bookmarkEnd w:id="10"/>
      <w:bookmarkEnd w:id="11"/>
    </w:p>
    <w:p w14:paraId="47F7E192" w14:textId="6EEA1211" w:rsidR="005E07C4" w:rsidRDefault="009518C6" w:rsidP="00B13E72">
      <w:pPr>
        <w:pStyle w:val="NoSpacing"/>
        <w:jc w:val="both"/>
        <w:rPr>
          <w:rFonts w:ascii="Calibri Light" w:eastAsiaTheme="minorEastAsia" w:hAnsi="Calibri Light" w:cs="Calibri Light"/>
          <w:color w:val="000000"/>
        </w:rPr>
      </w:pPr>
      <w:r w:rsidRPr="00A033DD">
        <w:rPr>
          <w:rFonts w:ascii="Calibri Light" w:eastAsiaTheme="minorEastAsia" w:hAnsi="Calibri Light" w:cs="Calibri Light"/>
          <w:color w:val="000000"/>
        </w:rPr>
        <w:t>The measure case for this measure is an efficient</w:t>
      </w:r>
      <w:r w:rsidR="00D50F3D" w:rsidRPr="00A033DD">
        <w:rPr>
          <w:rFonts w:ascii="Calibri Light" w:eastAsiaTheme="minorEastAsia" w:hAnsi="Calibri Light" w:cs="Calibri Light"/>
          <w:color w:val="000000"/>
        </w:rPr>
        <w:t>, above cod</w:t>
      </w:r>
      <w:r w:rsidR="0095420A" w:rsidRPr="00A033DD">
        <w:rPr>
          <w:rFonts w:ascii="Calibri Light" w:eastAsiaTheme="minorEastAsia" w:hAnsi="Calibri Light" w:cs="Calibri Light"/>
          <w:color w:val="000000"/>
        </w:rPr>
        <w:t xml:space="preserve">e, </w:t>
      </w:r>
      <w:r w:rsidR="0052757B" w:rsidRPr="00A033DD">
        <w:rPr>
          <w:rFonts w:ascii="Calibri Light" w:eastAsiaTheme="minorEastAsia" w:hAnsi="Calibri Light" w:cs="Calibri Light"/>
          <w:color w:val="000000"/>
        </w:rPr>
        <w:t>air source mini-split heat pump unit</w:t>
      </w:r>
      <w:r w:rsidRPr="00A033DD">
        <w:rPr>
          <w:rFonts w:ascii="Calibri Light" w:eastAsiaTheme="minorEastAsia" w:hAnsi="Calibri Light" w:cs="Calibri Light"/>
          <w:color w:val="000000"/>
        </w:rPr>
        <w:t>.</w:t>
      </w:r>
      <w:r w:rsidR="00A3215B" w:rsidRPr="00A033DD">
        <w:rPr>
          <w:rFonts w:ascii="Calibri Light" w:eastAsiaTheme="minorEastAsia" w:hAnsi="Calibri Light" w:cs="Calibri Light"/>
          <w:color w:val="000000"/>
        </w:rPr>
        <w:t xml:space="preserve"> </w:t>
      </w:r>
    </w:p>
    <w:p w14:paraId="02D9853F" w14:textId="77777777" w:rsidR="005E07C4" w:rsidRPr="00A033DD" w:rsidRDefault="005E07C4" w:rsidP="00B13E72">
      <w:pPr>
        <w:pStyle w:val="NoSpacing"/>
        <w:jc w:val="both"/>
        <w:rPr>
          <w:rFonts w:ascii="Calibri Light" w:eastAsiaTheme="minorEastAsia" w:hAnsi="Calibri Light" w:cs="Calibri Light"/>
          <w:color w:val="000000"/>
        </w:rPr>
      </w:pPr>
    </w:p>
    <w:p w14:paraId="657F86A9" w14:textId="3F160A5B" w:rsidR="00971E70" w:rsidRPr="00971E70" w:rsidRDefault="00971E70" w:rsidP="00B13E72">
      <w:pPr>
        <w:pStyle w:val="NoSpacing"/>
        <w:jc w:val="both"/>
        <w:rPr>
          <w:rFonts w:ascii="Calibri Light" w:eastAsiaTheme="minorEastAsia" w:hAnsi="Calibri Light" w:cs="Calibri Light"/>
          <w:iCs/>
          <w:color w:val="000000"/>
        </w:rPr>
      </w:pPr>
      <w:r w:rsidRPr="00971E70">
        <w:rPr>
          <w:rFonts w:ascii="Calibri Light" w:eastAsiaTheme="minorEastAsia" w:hAnsi="Calibri Light" w:cs="Calibri Light"/>
          <w:iCs/>
          <w:color w:val="000000"/>
        </w:rPr>
        <w:t>The minimum qualifying measure efficiencies for</w:t>
      </w:r>
      <w:r w:rsidR="00517F44">
        <w:rPr>
          <w:rFonts w:ascii="Calibri Light" w:eastAsiaTheme="minorEastAsia" w:hAnsi="Calibri Light" w:cs="Calibri Light"/>
          <w:iCs/>
          <w:color w:val="000000"/>
        </w:rPr>
        <w:t xml:space="preserve"> the measure in </w:t>
      </w:r>
      <w:r w:rsidR="00A11E9F">
        <w:rPr>
          <w:rFonts w:ascii="Calibri Light" w:eastAsiaTheme="minorEastAsia" w:hAnsi="Calibri Light" w:cs="Calibri Light"/>
          <w:iCs/>
          <w:color w:val="000000"/>
        </w:rPr>
        <w:t xml:space="preserve">Tier 1 </w:t>
      </w:r>
      <w:r w:rsidR="005B375B">
        <w:rPr>
          <w:rFonts w:ascii="Calibri Light" w:eastAsiaTheme="minorEastAsia" w:hAnsi="Calibri Light" w:cs="Calibri Light"/>
          <w:iCs/>
          <w:color w:val="000000"/>
        </w:rPr>
        <w:t xml:space="preserve">is </w:t>
      </w:r>
      <w:r w:rsidRPr="00971E70">
        <w:rPr>
          <w:rFonts w:ascii="Calibri Light" w:eastAsiaTheme="minorEastAsia" w:hAnsi="Calibri Light" w:cs="Calibri Light"/>
          <w:iCs/>
          <w:color w:val="000000"/>
        </w:rPr>
        <w:t xml:space="preserve">based on Energy Star </w:t>
      </w:r>
      <w:r w:rsidR="005E07C4">
        <w:rPr>
          <w:rFonts w:ascii="Calibri Light" w:eastAsiaTheme="minorEastAsia" w:hAnsi="Calibri Light" w:cs="Calibri Light"/>
          <w:iCs/>
          <w:color w:val="000000"/>
        </w:rPr>
        <w:t xml:space="preserve">minimum efficiency </w:t>
      </w:r>
      <w:r w:rsidRPr="00971E70">
        <w:rPr>
          <w:rFonts w:ascii="Calibri Light" w:eastAsiaTheme="minorEastAsia" w:hAnsi="Calibri Light" w:cs="Calibri Light"/>
          <w:iCs/>
          <w:color w:val="000000"/>
        </w:rPr>
        <w:t xml:space="preserve">requirements and exceed the Title 20, Title 24, and Code of Federal Regulations standards (see code requirements). </w:t>
      </w:r>
      <w:r w:rsidR="002B6D1D">
        <w:rPr>
          <w:rFonts w:ascii="Calibri Light" w:eastAsiaTheme="minorEastAsia" w:hAnsi="Calibri Light" w:cs="Calibri Light"/>
          <w:iCs/>
          <w:color w:val="000000"/>
        </w:rPr>
        <w:t xml:space="preserve">The </w:t>
      </w:r>
      <w:r w:rsidR="005E07C4">
        <w:rPr>
          <w:rFonts w:ascii="Calibri Light" w:eastAsiaTheme="minorEastAsia" w:hAnsi="Calibri Light" w:cs="Calibri Light"/>
          <w:iCs/>
          <w:color w:val="000000"/>
        </w:rPr>
        <w:t>remaining three</w:t>
      </w:r>
      <w:r w:rsidR="005B375B">
        <w:rPr>
          <w:rFonts w:ascii="Calibri Light" w:eastAsiaTheme="minorEastAsia" w:hAnsi="Calibri Light" w:cs="Calibri Light"/>
          <w:iCs/>
          <w:color w:val="000000"/>
        </w:rPr>
        <w:t xml:space="preserve"> </w:t>
      </w:r>
      <w:r w:rsidR="002B6D1D">
        <w:rPr>
          <w:rFonts w:ascii="Calibri Light" w:eastAsiaTheme="minorEastAsia" w:hAnsi="Calibri Light" w:cs="Calibri Light"/>
          <w:iCs/>
          <w:color w:val="000000"/>
        </w:rPr>
        <w:t xml:space="preserve">tiers </w:t>
      </w:r>
      <w:r w:rsidRPr="00971E70">
        <w:rPr>
          <w:rFonts w:ascii="Calibri Light" w:eastAsiaTheme="minorEastAsia" w:hAnsi="Calibri Light" w:cs="Calibri Light"/>
          <w:iCs/>
          <w:color w:val="000000"/>
        </w:rPr>
        <w:t>are based on efficiency requirements for DEER2020 measures for Residential SEER-rated split HPs (</w:t>
      </w:r>
      <w:r w:rsidR="005E07C4" w:rsidRPr="005E07C4">
        <w:rPr>
          <w:rFonts w:ascii="Calibri Light" w:eastAsiaTheme="minorEastAsia" w:hAnsi="Calibri Light" w:cs="Calibri Light"/>
          <w:iCs/>
          <w:color w:val="000000"/>
        </w:rPr>
        <w:t>RE-HV-ResHP-16p0S-9p0H</w:t>
      </w:r>
      <w:r w:rsidR="005E07C4">
        <w:rPr>
          <w:rFonts w:ascii="Calibri Light" w:eastAsiaTheme="minorEastAsia" w:hAnsi="Calibri Light" w:cs="Calibri Light"/>
          <w:iCs/>
          <w:color w:val="000000"/>
        </w:rPr>
        <w:t xml:space="preserve">, </w:t>
      </w:r>
      <w:r w:rsidRPr="00971E70">
        <w:rPr>
          <w:rFonts w:ascii="Calibri Light" w:eastAsiaTheme="minorEastAsia" w:hAnsi="Calibri Light" w:cs="Calibri Light"/>
          <w:iCs/>
          <w:color w:val="000000"/>
        </w:rPr>
        <w:t>RE-HV-ResHP-17p0S-9p4H</w:t>
      </w:r>
      <w:r w:rsidR="005B375B">
        <w:rPr>
          <w:rFonts w:ascii="Calibri Light" w:eastAsiaTheme="minorEastAsia" w:hAnsi="Calibri Light" w:cs="Calibri Light"/>
          <w:iCs/>
          <w:color w:val="000000"/>
        </w:rPr>
        <w:t>,</w:t>
      </w:r>
      <w:r w:rsidR="00AB65F8">
        <w:rPr>
          <w:rFonts w:ascii="Calibri Light" w:eastAsiaTheme="minorEastAsia" w:hAnsi="Calibri Light" w:cs="Calibri Light"/>
          <w:iCs/>
          <w:color w:val="000000"/>
        </w:rPr>
        <w:t xml:space="preserve"> </w:t>
      </w:r>
      <w:r w:rsidRPr="00971E70">
        <w:rPr>
          <w:rFonts w:ascii="Calibri Light" w:eastAsiaTheme="minorEastAsia" w:hAnsi="Calibri Light" w:cs="Calibri Light"/>
          <w:iCs/>
          <w:color w:val="000000"/>
        </w:rPr>
        <w:t xml:space="preserve">RE-HV-ResHP-18p0S-9p7H).  </w:t>
      </w:r>
      <w:r w:rsidR="003524F6">
        <w:rPr>
          <w:rFonts w:ascii="Calibri Light" w:eastAsiaTheme="minorEastAsia" w:hAnsi="Calibri Light" w:cs="Calibri Light"/>
          <w:iCs/>
          <w:color w:val="000000"/>
        </w:rPr>
        <w:t xml:space="preserve">HSPF values shown reflect the </w:t>
      </w:r>
      <w:r w:rsidR="0038467F">
        <w:rPr>
          <w:rFonts w:ascii="Calibri Light" w:eastAsiaTheme="minorEastAsia" w:hAnsi="Calibri Light" w:cs="Calibri Light"/>
          <w:iCs/>
          <w:color w:val="000000"/>
        </w:rPr>
        <w:t xml:space="preserve">values </w:t>
      </w:r>
      <w:r w:rsidR="003524F6">
        <w:rPr>
          <w:rFonts w:ascii="Calibri Light" w:eastAsiaTheme="minorEastAsia" w:hAnsi="Calibri Light" w:cs="Calibri Light"/>
          <w:iCs/>
          <w:color w:val="000000"/>
        </w:rPr>
        <w:t xml:space="preserve">for each SEER range and applicable sizes </w:t>
      </w:r>
      <w:r w:rsidR="0038467F">
        <w:rPr>
          <w:rFonts w:ascii="Calibri Light" w:eastAsiaTheme="minorEastAsia" w:hAnsi="Calibri Light" w:cs="Calibri Light"/>
          <w:iCs/>
          <w:color w:val="000000"/>
        </w:rPr>
        <w:t>based on analysis from</w:t>
      </w:r>
      <w:r w:rsidR="003524F6">
        <w:rPr>
          <w:rFonts w:ascii="Calibri Light" w:eastAsiaTheme="minorEastAsia" w:hAnsi="Calibri Light" w:cs="Calibri Light"/>
          <w:iCs/>
          <w:color w:val="000000"/>
        </w:rPr>
        <w:t xml:space="preserve"> </w:t>
      </w:r>
      <w:r w:rsidR="008448B9">
        <w:rPr>
          <w:rFonts w:ascii="Calibri Light" w:eastAsiaTheme="minorEastAsia" w:hAnsi="Calibri Light" w:cs="Calibri Light"/>
          <w:iCs/>
          <w:color w:val="000000"/>
        </w:rPr>
        <w:t>MASControl</w:t>
      </w:r>
      <w:r w:rsidR="0038467F">
        <w:rPr>
          <w:rFonts w:ascii="Calibri Light" w:eastAsiaTheme="minorEastAsia" w:hAnsi="Calibri Light" w:cs="Calibri Light"/>
          <w:iCs/>
          <w:color w:val="000000"/>
        </w:rPr>
        <w:t xml:space="preserve"> 3 TechData</w:t>
      </w:r>
      <w:r w:rsidR="008448B9">
        <w:rPr>
          <w:rFonts w:ascii="Calibri Light" w:eastAsiaTheme="minorEastAsia" w:hAnsi="Calibri Light" w:cs="Calibri Light"/>
          <w:iCs/>
          <w:color w:val="000000"/>
        </w:rPr>
        <w:t xml:space="preserve"> workbooks</w:t>
      </w:r>
      <w:r w:rsidR="00231EC0">
        <w:rPr>
          <w:rFonts w:ascii="Calibri Light" w:eastAsiaTheme="minorEastAsia" w:hAnsi="Calibri Light" w:cs="Calibri Light"/>
          <w:iCs/>
          <w:color w:val="000000"/>
        </w:rPr>
        <w:t>.</w:t>
      </w:r>
      <w:r w:rsidR="0038467F">
        <w:rPr>
          <w:rStyle w:val="FootnoteReference"/>
          <w:rFonts w:ascii="Calibri Light" w:eastAsiaTheme="minorEastAsia" w:hAnsi="Calibri Light" w:cs="Calibri Light"/>
          <w:iCs/>
          <w:color w:val="000000"/>
        </w:rPr>
        <w:footnoteReference w:id="1"/>
      </w:r>
      <w:r w:rsidR="003524F6">
        <w:rPr>
          <w:rFonts w:ascii="Calibri Light" w:eastAsiaTheme="minorEastAsia" w:hAnsi="Calibri Light" w:cs="Calibri Light"/>
          <w:iCs/>
          <w:color w:val="000000"/>
        </w:rPr>
        <w:t xml:space="preserve"> </w:t>
      </w:r>
      <w:r w:rsidRPr="00971E70">
        <w:rPr>
          <w:rFonts w:ascii="Calibri Light" w:eastAsiaTheme="minorEastAsia" w:hAnsi="Calibri Light" w:cs="Calibri Light"/>
          <w:iCs/>
          <w:color w:val="000000"/>
        </w:rPr>
        <w:t>A summary of the minimum efficiency requirements is shown in the table below.</w:t>
      </w:r>
    </w:p>
    <w:p w14:paraId="7D6AB443" w14:textId="06F1D454" w:rsidR="005E08CD" w:rsidRPr="005E08CD" w:rsidRDefault="004B3476" w:rsidP="00B13E72">
      <w:pPr>
        <w:jc w:val="both"/>
        <w:rPr>
          <w:rFonts w:cs="Calibri Light"/>
          <w:b/>
        </w:rPr>
      </w:pPr>
      <w:r>
        <w:rPr>
          <w:rFonts w:cs="Calibri Light"/>
          <w:b/>
        </w:rPr>
        <w:t xml:space="preserve">Measure </w:t>
      </w:r>
      <w:r w:rsidR="005E08CD">
        <w:rPr>
          <w:rFonts w:cs="Calibri Light"/>
          <w:b/>
        </w:rPr>
        <w:t xml:space="preserve">Case </w:t>
      </w:r>
      <w:r w:rsidR="004E4CA2">
        <w:rPr>
          <w:rFonts w:cs="Calibri Light"/>
          <w:b/>
        </w:rPr>
        <w:t>Technology Characterization</w:t>
      </w:r>
    </w:p>
    <w:tbl>
      <w:tblPr>
        <w:tblStyle w:val="TableGridLight"/>
        <w:tblW w:w="9599" w:type="dxa"/>
        <w:tblLook w:val="04A0" w:firstRow="1" w:lastRow="0" w:firstColumn="1" w:lastColumn="0" w:noHBand="0" w:noVBand="1"/>
      </w:tblPr>
      <w:tblGrid>
        <w:gridCol w:w="1098"/>
        <w:gridCol w:w="697"/>
        <w:gridCol w:w="883"/>
        <w:gridCol w:w="737"/>
        <w:gridCol w:w="3339"/>
        <w:gridCol w:w="1348"/>
        <w:gridCol w:w="1497"/>
      </w:tblGrid>
      <w:tr w:rsidR="006B6D1E" w:rsidRPr="008D2389" w14:paraId="521695DD" w14:textId="1FCEC90F" w:rsidTr="007D108E">
        <w:trPr>
          <w:trHeight w:val="179"/>
        </w:trPr>
        <w:tc>
          <w:tcPr>
            <w:tcW w:w="1098" w:type="dxa"/>
            <w:shd w:val="clear" w:color="auto" w:fill="F2F2F2" w:themeFill="background1" w:themeFillShade="F2"/>
            <w:vAlign w:val="center"/>
          </w:tcPr>
          <w:p w14:paraId="5F631D78" w14:textId="746F5B93" w:rsidR="007D108E" w:rsidRDefault="006B6D1E" w:rsidP="00231EC0">
            <w:pPr>
              <w:spacing w:before="0" w:after="0" w:line="240" w:lineRule="auto"/>
              <w:jc w:val="center"/>
              <w:rPr>
                <w:rFonts w:cs="Calibri Light"/>
                <w:b/>
                <w:sz w:val="20"/>
                <w:szCs w:val="20"/>
              </w:rPr>
            </w:pPr>
            <w:r>
              <w:rPr>
                <w:rFonts w:cs="Calibri Light"/>
                <w:b/>
                <w:sz w:val="20"/>
                <w:szCs w:val="20"/>
              </w:rPr>
              <w:t xml:space="preserve">Measure Case </w:t>
            </w:r>
            <w:r w:rsidR="007D108E">
              <w:rPr>
                <w:rFonts w:cs="Calibri Light"/>
                <w:b/>
                <w:sz w:val="20"/>
                <w:szCs w:val="20"/>
              </w:rPr>
              <w:t>Equipment</w:t>
            </w:r>
          </w:p>
        </w:tc>
        <w:tc>
          <w:tcPr>
            <w:tcW w:w="697" w:type="dxa"/>
            <w:shd w:val="clear" w:color="auto" w:fill="F2F2F2" w:themeFill="background1" w:themeFillShade="F2"/>
            <w:noWrap/>
            <w:vAlign w:val="center"/>
            <w:hideMark/>
          </w:tcPr>
          <w:p w14:paraId="5EC6AD0A" w14:textId="63E33B04" w:rsidR="007D108E" w:rsidRPr="00A3215B" w:rsidRDefault="007D108E" w:rsidP="00231EC0">
            <w:pPr>
              <w:spacing w:before="0" w:after="0" w:line="240" w:lineRule="auto"/>
              <w:jc w:val="center"/>
              <w:rPr>
                <w:rFonts w:cs="Calibri Light"/>
                <w:b/>
                <w:sz w:val="20"/>
                <w:szCs w:val="20"/>
              </w:rPr>
            </w:pPr>
            <w:r>
              <w:rPr>
                <w:rFonts w:cs="Calibri Light"/>
                <w:b/>
                <w:sz w:val="20"/>
                <w:szCs w:val="20"/>
              </w:rPr>
              <w:t>Tier</w:t>
            </w:r>
          </w:p>
        </w:tc>
        <w:tc>
          <w:tcPr>
            <w:tcW w:w="883" w:type="dxa"/>
            <w:shd w:val="clear" w:color="auto" w:fill="F2F2F2" w:themeFill="background1" w:themeFillShade="F2"/>
            <w:noWrap/>
            <w:vAlign w:val="center"/>
            <w:hideMark/>
          </w:tcPr>
          <w:p w14:paraId="3C788FAA" w14:textId="03AEA68E" w:rsidR="007D108E" w:rsidRPr="00A3215B" w:rsidRDefault="007D108E" w:rsidP="00231EC0">
            <w:pPr>
              <w:spacing w:before="0" w:after="0" w:line="240" w:lineRule="auto"/>
              <w:jc w:val="center"/>
              <w:rPr>
                <w:rFonts w:cs="Calibri Light"/>
                <w:b/>
                <w:sz w:val="20"/>
                <w:szCs w:val="20"/>
              </w:rPr>
            </w:pPr>
            <w:r>
              <w:rPr>
                <w:rFonts w:cs="Calibri Light"/>
                <w:b/>
                <w:sz w:val="20"/>
                <w:szCs w:val="20"/>
              </w:rPr>
              <w:t>SEER</w:t>
            </w:r>
          </w:p>
        </w:tc>
        <w:tc>
          <w:tcPr>
            <w:tcW w:w="737" w:type="dxa"/>
            <w:shd w:val="clear" w:color="auto" w:fill="F2F2F2" w:themeFill="background1" w:themeFillShade="F2"/>
            <w:vAlign w:val="center"/>
          </w:tcPr>
          <w:p w14:paraId="7A8E124D" w14:textId="0E6A7EEA" w:rsidR="007D108E" w:rsidRDefault="007D108E">
            <w:pPr>
              <w:spacing w:before="0" w:after="0" w:line="240" w:lineRule="auto"/>
              <w:jc w:val="center"/>
              <w:rPr>
                <w:rFonts w:cs="Calibri Light"/>
                <w:b/>
                <w:sz w:val="20"/>
                <w:szCs w:val="20"/>
              </w:rPr>
            </w:pPr>
            <w:r>
              <w:rPr>
                <w:rFonts w:cs="Calibri Light"/>
                <w:b/>
                <w:sz w:val="20"/>
                <w:szCs w:val="20"/>
              </w:rPr>
              <w:t>HSPF</w:t>
            </w:r>
          </w:p>
        </w:tc>
        <w:tc>
          <w:tcPr>
            <w:tcW w:w="3339" w:type="dxa"/>
            <w:shd w:val="clear" w:color="auto" w:fill="F2F2F2" w:themeFill="background1" w:themeFillShade="F2"/>
            <w:vAlign w:val="center"/>
          </w:tcPr>
          <w:p w14:paraId="6E8CA2D7" w14:textId="0DA3E59C" w:rsidR="007D108E" w:rsidRDefault="007D108E">
            <w:pPr>
              <w:spacing w:before="0" w:after="0" w:line="240" w:lineRule="auto"/>
              <w:jc w:val="center"/>
              <w:rPr>
                <w:rFonts w:cs="Calibri Light"/>
                <w:b/>
                <w:sz w:val="20"/>
                <w:szCs w:val="20"/>
              </w:rPr>
            </w:pPr>
            <w:r>
              <w:rPr>
                <w:rFonts w:cs="Calibri Light"/>
                <w:b/>
                <w:sz w:val="20"/>
                <w:szCs w:val="20"/>
              </w:rPr>
              <w:t>Base Case</w:t>
            </w:r>
            <w:r w:rsidR="006B6D1E">
              <w:rPr>
                <w:rFonts w:cs="Calibri Light"/>
                <w:b/>
                <w:sz w:val="20"/>
                <w:szCs w:val="20"/>
              </w:rPr>
              <w:t xml:space="preserve"> Equipment</w:t>
            </w:r>
          </w:p>
        </w:tc>
        <w:tc>
          <w:tcPr>
            <w:tcW w:w="1348" w:type="dxa"/>
            <w:shd w:val="clear" w:color="auto" w:fill="F2F2F2" w:themeFill="background1" w:themeFillShade="F2"/>
            <w:vAlign w:val="center"/>
          </w:tcPr>
          <w:p w14:paraId="10D36193" w14:textId="338A48C5" w:rsidR="007D108E" w:rsidRDefault="007D108E">
            <w:pPr>
              <w:spacing w:before="0" w:after="0" w:line="240" w:lineRule="auto"/>
              <w:jc w:val="center"/>
              <w:rPr>
                <w:rFonts w:cs="Calibri Light"/>
                <w:b/>
                <w:sz w:val="20"/>
                <w:szCs w:val="20"/>
              </w:rPr>
            </w:pPr>
            <w:r>
              <w:rPr>
                <w:rFonts w:cs="Calibri Light"/>
                <w:b/>
                <w:sz w:val="20"/>
                <w:szCs w:val="20"/>
              </w:rPr>
              <w:t>Normal Replacement</w:t>
            </w:r>
          </w:p>
          <w:p w14:paraId="12EC0A9C" w14:textId="0BF35368" w:rsidR="007D108E" w:rsidRDefault="007D108E">
            <w:pPr>
              <w:spacing w:before="0" w:after="0" w:line="240" w:lineRule="auto"/>
              <w:jc w:val="center"/>
              <w:rPr>
                <w:rFonts w:cs="Calibri Light"/>
                <w:b/>
                <w:sz w:val="20"/>
                <w:szCs w:val="20"/>
              </w:rPr>
            </w:pPr>
            <w:r>
              <w:rPr>
                <w:rFonts w:cs="Calibri Light"/>
                <w:b/>
                <w:sz w:val="20"/>
                <w:szCs w:val="20"/>
              </w:rPr>
              <w:t>Measure ID(s)</w:t>
            </w:r>
          </w:p>
        </w:tc>
        <w:tc>
          <w:tcPr>
            <w:tcW w:w="1497" w:type="dxa"/>
            <w:shd w:val="clear" w:color="auto" w:fill="F2F2F2" w:themeFill="background1" w:themeFillShade="F2"/>
            <w:vAlign w:val="center"/>
          </w:tcPr>
          <w:p w14:paraId="3B8F11FF" w14:textId="5D0CF243" w:rsidR="007D108E" w:rsidRDefault="007D108E">
            <w:pPr>
              <w:spacing w:before="0" w:after="0" w:line="240" w:lineRule="auto"/>
              <w:jc w:val="center"/>
              <w:rPr>
                <w:rFonts w:cs="Calibri Light"/>
                <w:b/>
                <w:sz w:val="20"/>
                <w:szCs w:val="20"/>
              </w:rPr>
            </w:pPr>
            <w:r>
              <w:rPr>
                <w:rFonts w:cs="Calibri Light"/>
                <w:b/>
                <w:sz w:val="20"/>
                <w:szCs w:val="20"/>
              </w:rPr>
              <w:t>New Construction</w:t>
            </w:r>
          </w:p>
          <w:p w14:paraId="5B03F6F3" w14:textId="7AB233E2" w:rsidR="007D108E" w:rsidRDefault="007D108E">
            <w:pPr>
              <w:spacing w:before="0" w:after="0" w:line="240" w:lineRule="auto"/>
              <w:jc w:val="center"/>
              <w:rPr>
                <w:rFonts w:cs="Calibri Light"/>
                <w:b/>
                <w:sz w:val="20"/>
                <w:szCs w:val="20"/>
              </w:rPr>
            </w:pPr>
            <w:r>
              <w:rPr>
                <w:rFonts w:cs="Calibri Light"/>
                <w:b/>
                <w:sz w:val="20"/>
                <w:szCs w:val="20"/>
              </w:rPr>
              <w:t>Measure ID(s)</w:t>
            </w:r>
          </w:p>
        </w:tc>
      </w:tr>
      <w:tr w:rsidR="006B6D1E" w:rsidRPr="008D2389" w14:paraId="0624E815" w14:textId="4225B273" w:rsidTr="00B46114">
        <w:trPr>
          <w:trHeight w:val="179"/>
        </w:trPr>
        <w:tc>
          <w:tcPr>
            <w:tcW w:w="1098" w:type="dxa"/>
            <w:vMerge w:val="restart"/>
            <w:shd w:val="clear" w:color="auto" w:fill="auto"/>
            <w:vAlign w:val="center"/>
          </w:tcPr>
          <w:p w14:paraId="0907420C" w14:textId="77777777" w:rsidR="007D108E" w:rsidRDefault="007D108E" w:rsidP="007A2D03">
            <w:pPr>
              <w:spacing w:before="0" w:after="0" w:line="240" w:lineRule="auto"/>
              <w:jc w:val="center"/>
              <w:rPr>
                <w:rFonts w:cs="Calibri Light"/>
                <w:sz w:val="20"/>
                <w:szCs w:val="20"/>
              </w:rPr>
            </w:pPr>
            <w:r w:rsidRPr="00FF39EC">
              <w:rPr>
                <w:rFonts w:cs="Calibri Light"/>
                <w:sz w:val="20"/>
                <w:szCs w:val="20"/>
              </w:rPr>
              <w:t>Mini-Split</w:t>
            </w:r>
            <w:r>
              <w:rPr>
                <w:rFonts w:cs="Calibri Light"/>
                <w:sz w:val="20"/>
                <w:szCs w:val="20"/>
              </w:rPr>
              <w:t xml:space="preserve"> </w:t>
            </w:r>
          </w:p>
          <w:p w14:paraId="3E268E9E" w14:textId="22FDB0B9" w:rsidR="007D108E" w:rsidRDefault="007D108E" w:rsidP="00231EC0">
            <w:pPr>
              <w:spacing w:before="0" w:after="0" w:line="240" w:lineRule="auto"/>
              <w:jc w:val="center"/>
              <w:rPr>
                <w:rFonts w:cs="Calibri Light"/>
                <w:sz w:val="20"/>
                <w:szCs w:val="20"/>
              </w:rPr>
            </w:pPr>
            <w:r w:rsidRPr="00FF39EC">
              <w:rPr>
                <w:rFonts w:cs="Calibri Light"/>
                <w:sz w:val="20"/>
                <w:szCs w:val="20"/>
              </w:rPr>
              <w:t>Heat</w:t>
            </w:r>
            <w:r>
              <w:rPr>
                <w:rFonts w:cs="Calibri Light"/>
                <w:sz w:val="20"/>
                <w:szCs w:val="20"/>
              </w:rPr>
              <w:t xml:space="preserve"> </w:t>
            </w:r>
            <w:r w:rsidRPr="00FF39EC">
              <w:rPr>
                <w:rFonts w:cs="Calibri Light"/>
                <w:sz w:val="20"/>
                <w:szCs w:val="20"/>
              </w:rPr>
              <w:t>Pump</w:t>
            </w:r>
          </w:p>
        </w:tc>
        <w:tc>
          <w:tcPr>
            <w:tcW w:w="697" w:type="dxa"/>
            <w:noWrap/>
            <w:vAlign w:val="center"/>
            <w:hideMark/>
          </w:tcPr>
          <w:p w14:paraId="0DB36622" w14:textId="2885A98D" w:rsidR="007D108E" w:rsidRPr="00A3215B" w:rsidRDefault="007D108E">
            <w:pPr>
              <w:spacing w:before="0" w:after="0" w:line="240" w:lineRule="auto"/>
              <w:jc w:val="center"/>
              <w:rPr>
                <w:rFonts w:cs="Calibri Light"/>
                <w:sz w:val="20"/>
                <w:szCs w:val="20"/>
              </w:rPr>
            </w:pPr>
            <w:r>
              <w:rPr>
                <w:rFonts w:cs="Calibri Light"/>
                <w:sz w:val="20"/>
                <w:szCs w:val="20"/>
              </w:rPr>
              <w:t>Tier 1</w:t>
            </w:r>
          </w:p>
        </w:tc>
        <w:tc>
          <w:tcPr>
            <w:tcW w:w="883" w:type="dxa"/>
            <w:noWrap/>
            <w:vAlign w:val="center"/>
            <w:hideMark/>
          </w:tcPr>
          <w:p w14:paraId="62AC4EA9" w14:textId="5189DA21" w:rsidR="007D108E" w:rsidRPr="00A3215B" w:rsidRDefault="007D108E">
            <w:pPr>
              <w:spacing w:before="0" w:after="0" w:line="240" w:lineRule="auto"/>
              <w:ind w:right="36"/>
              <w:jc w:val="center"/>
              <w:rPr>
                <w:rFonts w:cs="Calibri Light"/>
                <w:sz w:val="20"/>
                <w:szCs w:val="20"/>
              </w:rPr>
            </w:pPr>
            <w:r>
              <w:rPr>
                <w:rFonts w:cs="Calibri Light"/>
                <w:sz w:val="20"/>
                <w:szCs w:val="20"/>
              </w:rPr>
              <w:t>15</w:t>
            </w:r>
          </w:p>
        </w:tc>
        <w:tc>
          <w:tcPr>
            <w:tcW w:w="737" w:type="dxa"/>
            <w:vAlign w:val="center"/>
          </w:tcPr>
          <w:p w14:paraId="1FF14F4F" w14:textId="79717BC6" w:rsidR="007D108E" w:rsidRDefault="007D108E">
            <w:pPr>
              <w:spacing w:before="0" w:after="0" w:line="240" w:lineRule="auto"/>
              <w:jc w:val="center"/>
              <w:rPr>
                <w:rFonts w:cs="Calibri Light"/>
                <w:sz w:val="20"/>
                <w:szCs w:val="20"/>
              </w:rPr>
            </w:pPr>
            <w:r>
              <w:rPr>
                <w:rFonts w:cs="Calibri Light"/>
                <w:sz w:val="20"/>
                <w:szCs w:val="20"/>
              </w:rPr>
              <w:t>8.7</w:t>
            </w:r>
          </w:p>
        </w:tc>
        <w:tc>
          <w:tcPr>
            <w:tcW w:w="3339" w:type="dxa"/>
            <w:vMerge w:val="restart"/>
            <w:vAlign w:val="center"/>
          </w:tcPr>
          <w:p w14:paraId="2DF53CCB" w14:textId="4CD175AC" w:rsidR="007D108E" w:rsidRDefault="007D108E" w:rsidP="00231EC0">
            <w:pPr>
              <w:spacing w:before="0" w:after="0" w:line="240" w:lineRule="auto"/>
              <w:jc w:val="center"/>
              <w:rPr>
                <w:rFonts w:cs="Calibri Light"/>
                <w:sz w:val="20"/>
                <w:szCs w:val="20"/>
              </w:rPr>
            </w:pPr>
            <w:r w:rsidRPr="00E00D76">
              <w:rPr>
                <w:rFonts w:cs="Calibri Light"/>
                <w:sz w:val="20"/>
                <w:szCs w:val="20"/>
              </w:rPr>
              <w:t>Standard Efficiency Wall Furnace (AFUE=67%) and Window AC (</w:t>
            </w:r>
            <w:r>
              <w:rPr>
                <w:rFonts w:cs="Calibri Light"/>
                <w:sz w:val="20"/>
                <w:szCs w:val="20"/>
              </w:rPr>
              <w:t>11 EER</w:t>
            </w:r>
            <w:r w:rsidRPr="00E00D76">
              <w:rPr>
                <w:rFonts w:cs="Calibri Light"/>
                <w:sz w:val="20"/>
                <w:szCs w:val="20"/>
              </w:rPr>
              <w:t>)</w:t>
            </w:r>
          </w:p>
        </w:tc>
        <w:tc>
          <w:tcPr>
            <w:tcW w:w="1348" w:type="dxa"/>
            <w:vAlign w:val="center"/>
          </w:tcPr>
          <w:p w14:paraId="6629697E" w14:textId="72FF1B97" w:rsidR="007D108E" w:rsidRDefault="007D108E">
            <w:pPr>
              <w:spacing w:before="0" w:after="0" w:line="240" w:lineRule="auto"/>
              <w:jc w:val="center"/>
              <w:rPr>
                <w:rFonts w:cs="Calibri Light"/>
                <w:sz w:val="20"/>
                <w:szCs w:val="20"/>
              </w:rPr>
            </w:pPr>
            <w:r w:rsidRPr="00E00D76">
              <w:rPr>
                <w:rFonts w:cs="Calibri Light"/>
                <w:sz w:val="20"/>
                <w:szCs w:val="20"/>
              </w:rPr>
              <w:t>SWHC044A</w:t>
            </w:r>
          </w:p>
        </w:tc>
        <w:tc>
          <w:tcPr>
            <w:tcW w:w="1497" w:type="dxa"/>
            <w:vAlign w:val="center"/>
          </w:tcPr>
          <w:p w14:paraId="3B3BCE61" w14:textId="0A267087" w:rsidR="007D108E" w:rsidRPr="00231EC0" w:rsidRDefault="007D108E">
            <w:pPr>
              <w:spacing w:before="0" w:after="0" w:line="240" w:lineRule="auto"/>
              <w:jc w:val="center"/>
              <w:rPr>
                <w:rFonts w:cs="Calibri Light"/>
                <w:sz w:val="20"/>
                <w:szCs w:val="20"/>
              </w:rPr>
            </w:pPr>
            <w:r>
              <w:rPr>
                <w:rFonts w:cs="Calibri Light"/>
                <w:sz w:val="20"/>
                <w:szCs w:val="20"/>
              </w:rPr>
              <w:t>SWHC044E</w:t>
            </w:r>
          </w:p>
        </w:tc>
      </w:tr>
      <w:tr w:rsidR="006B6D1E" w:rsidRPr="008D2389" w14:paraId="2BBA5539" w14:textId="00692899" w:rsidTr="00B46114">
        <w:trPr>
          <w:trHeight w:val="179"/>
        </w:trPr>
        <w:tc>
          <w:tcPr>
            <w:tcW w:w="1098" w:type="dxa"/>
            <w:vMerge/>
            <w:shd w:val="clear" w:color="auto" w:fill="auto"/>
          </w:tcPr>
          <w:p w14:paraId="15DA1D5B" w14:textId="60E97390" w:rsidR="007D108E" w:rsidRDefault="007D108E" w:rsidP="007A2D03">
            <w:pPr>
              <w:spacing w:before="0" w:after="0" w:line="240" w:lineRule="auto"/>
              <w:jc w:val="center"/>
              <w:rPr>
                <w:rFonts w:cs="Calibri Light"/>
                <w:sz w:val="20"/>
                <w:szCs w:val="20"/>
              </w:rPr>
            </w:pPr>
          </w:p>
        </w:tc>
        <w:tc>
          <w:tcPr>
            <w:tcW w:w="697" w:type="dxa"/>
            <w:noWrap/>
            <w:vAlign w:val="center"/>
          </w:tcPr>
          <w:p w14:paraId="696B20AB" w14:textId="13A5C26C" w:rsidR="007D108E" w:rsidRDefault="007D108E">
            <w:pPr>
              <w:spacing w:before="0" w:after="0" w:line="240" w:lineRule="auto"/>
              <w:jc w:val="center"/>
              <w:rPr>
                <w:rFonts w:cs="Calibri Light"/>
                <w:sz w:val="20"/>
                <w:szCs w:val="20"/>
              </w:rPr>
            </w:pPr>
            <w:r>
              <w:rPr>
                <w:rFonts w:cs="Calibri Light"/>
                <w:sz w:val="20"/>
                <w:szCs w:val="20"/>
              </w:rPr>
              <w:t>Tier 2</w:t>
            </w:r>
          </w:p>
        </w:tc>
        <w:tc>
          <w:tcPr>
            <w:tcW w:w="883" w:type="dxa"/>
            <w:noWrap/>
            <w:vAlign w:val="center"/>
          </w:tcPr>
          <w:p w14:paraId="6C112AB0" w14:textId="68406495" w:rsidR="007D108E" w:rsidRDefault="007D108E">
            <w:pPr>
              <w:spacing w:before="0" w:after="0" w:line="240" w:lineRule="auto"/>
              <w:jc w:val="center"/>
              <w:rPr>
                <w:rFonts w:cs="Calibri Light"/>
                <w:sz w:val="20"/>
                <w:szCs w:val="20"/>
              </w:rPr>
            </w:pPr>
            <w:r>
              <w:rPr>
                <w:rFonts w:cs="Calibri Light"/>
                <w:sz w:val="20"/>
                <w:szCs w:val="20"/>
              </w:rPr>
              <w:t>16</w:t>
            </w:r>
          </w:p>
        </w:tc>
        <w:tc>
          <w:tcPr>
            <w:tcW w:w="737" w:type="dxa"/>
            <w:vAlign w:val="center"/>
          </w:tcPr>
          <w:p w14:paraId="4806ADB2" w14:textId="3FD2554F" w:rsidR="007D108E" w:rsidRDefault="007D108E">
            <w:pPr>
              <w:spacing w:before="0" w:after="0" w:line="240" w:lineRule="auto"/>
              <w:jc w:val="center"/>
              <w:rPr>
                <w:rFonts w:cs="Calibri Light"/>
                <w:sz w:val="20"/>
                <w:szCs w:val="20"/>
              </w:rPr>
            </w:pPr>
            <w:r>
              <w:rPr>
                <w:rFonts w:cs="Calibri Light"/>
                <w:sz w:val="20"/>
                <w:szCs w:val="20"/>
              </w:rPr>
              <w:t>9.0</w:t>
            </w:r>
          </w:p>
        </w:tc>
        <w:tc>
          <w:tcPr>
            <w:tcW w:w="3339" w:type="dxa"/>
            <w:vMerge/>
            <w:vAlign w:val="center"/>
          </w:tcPr>
          <w:p w14:paraId="4B95A8D0" w14:textId="66721D1B" w:rsidR="007D108E" w:rsidRDefault="007D108E" w:rsidP="00B46114">
            <w:pPr>
              <w:spacing w:before="0" w:after="0" w:line="240" w:lineRule="auto"/>
              <w:jc w:val="center"/>
              <w:rPr>
                <w:rFonts w:cs="Calibri Light"/>
                <w:sz w:val="20"/>
                <w:szCs w:val="20"/>
              </w:rPr>
            </w:pPr>
          </w:p>
        </w:tc>
        <w:tc>
          <w:tcPr>
            <w:tcW w:w="1348" w:type="dxa"/>
            <w:vAlign w:val="center"/>
          </w:tcPr>
          <w:p w14:paraId="4F300DC5" w14:textId="6CCEB06C" w:rsidR="007D108E" w:rsidRDefault="007D108E">
            <w:pPr>
              <w:spacing w:before="0" w:after="0" w:line="240" w:lineRule="auto"/>
              <w:jc w:val="center"/>
              <w:rPr>
                <w:rFonts w:cs="Calibri Light"/>
                <w:sz w:val="20"/>
                <w:szCs w:val="20"/>
              </w:rPr>
            </w:pPr>
            <w:r w:rsidRPr="00E00D76">
              <w:rPr>
                <w:rFonts w:cs="Calibri Light"/>
                <w:sz w:val="20"/>
                <w:szCs w:val="20"/>
              </w:rPr>
              <w:t>SWHC044B</w:t>
            </w:r>
          </w:p>
        </w:tc>
        <w:tc>
          <w:tcPr>
            <w:tcW w:w="1497" w:type="dxa"/>
            <w:vAlign w:val="center"/>
          </w:tcPr>
          <w:p w14:paraId="5D472263" w14:textId="3D5DC4DD" w:rsidR="007D108E" w:rsidRPr="00231EC0" w:rsidRDefault="007D108E">
            <w:pPr>
              <w:spacing w:before="0" w:after="0" w:line="240" w:lineRule="auto"/>
              <w:jc w:val="center"/>
              <w:rPr>
                <w:rFonts w:cs="Calibri Light"/>
                <w:sz w:val="20"/>
                <w:szCs w:val="20"/>
              </w:rPr>
            </w:pPr>
            <w:r>
              <w:rPr>
                <w:rFonts w:cs="Calibri Light"/>
                <w:sz w:val="20"/>
                <w:szCs w:val="20"/>
              </w:rPr>
              <w:t>SWHC044F</w:t>
            </w:r>
          </w:p>
        </w:tc>
      </w:tr>
      <w:tr w:rsidR="006B6D1E" w:rsidRPr="008D2389" w14:paraId="5288FD34" w14:textId="0CFF21A3" w:rsidTr="00B46114">
        <w:trPr>
          <w:trHeight w:val="179"/>
        </w:trPr>
        <w:tc>
          <w:tcPr>
            <w:tcW w:w="1098" w:type="dxa"/>
            <w:vMerge/>
            <w:shd w:val="clear" w:color="auto" w:fill="auto"/>
          </w:tcPr>
          <w:p w14:paraId="311485F1" w14:textId="1BE69D2B" w:rsidR="007D108E" w:rsidRDefault="007D108E" w:rsidP="007A2D03">
            <w:pPr>
              <w:spacing w:before="0" w:after="0" w:line="240" w:lineRule="auto"/>
              <w:jc w:val="center"/>
              <w:rPr>
                <w:rFonts w:cs="Calibri Light"/>
                <w:sz w:val="20"/>
                <w:szCs w:val="20"/>
              </w:rPr>
            </w:pPr>
          </w:p>
        </w:tc>
        <w:tc>
          <w:tcPr>
            <w:tcW w:w="697" w:type="dxa"/>
            <w:noWrap/>
            <w:vAlign w:val="center"/>
          </w:tcPr>
          <w:p w14:paraId="4E277BE7" w14:textId="4D519898" w:rsidR="007D108E" w:rsidRDefault="007D108E">
            <w:pPr>
              <w:spacing w:before="0" w:after="0" w:line="240" w:lineRule="auto"/>
              <w:jc w:val="center"/>
              <w:rPr>
                <w:rFonts w:cs="Calibri Light"/>
                <w:sz w:val="20"/>
                <w:szCs w:val="20"/>
              </w:rPr>
            </w:pPr>
            <w:r>
              <w:rPr>
                <w:rFonts w:cs="Calibri Light"/>
                <w:sz w:val="20"/>
                <w:szCs w:val="20"/>
              </w:rPr>
              <w:t>Tier 3</w:t>
            </w:r>
          </w:p>
        </w:tc>
        <w:tc>
          <w:tcPr>
            <w:tcW w:w="883" w:type="dxa"/>
            <w:noWrap/>
            <w:vAlign w:val="center"/>
          </w:tcPr>
          <w:p w14:paraId="4FC0E80F" w14:textId="6D610BBA" w:rsidR="007D108E" w:rsidRDefault="007D108E">
            <w:pPr>
              <w:spacing w:before="0" w:after="0" w:line="240" w:lineRule="auto"/>
              <w:jc w:val="center"/>
              <w:rPr>
                <w:rFonts w:cs="Calibri Light"/>
                <w:sz w:val="20"/>
                <w:szCs w:val="20"/>
              </w:rPr>
            </w:pPr>
            <w:r>
              <w:rPr>
                <w:rFonts w:cs="Calibri Light"/>
                <w:sz w:val="20"/>
                <w:szCs w:val="20"/>
              </w:rPr>
              <w:t>17</w:t>
            </w:r>
          </w:p>
        </w:tc>
        <w:tc>
          <w:tcPr>
            <w:tcW w:w="737" w:type="dxa"/>
            <w:vAlign w:val="center"/>
          </w:tcPr>
          <w:p w14:paraId="64598967" w14:textId="1B9686C0" w:rsidR="007D108E" w:rsidRDefault="007D108E">
            <w:pPr>
              <w:spacing w:before="0" w:after="0" w:line="240" w:lineRule="auto"/>
              <w:jc w:val="center"/>
              <w:rPr>
                <w:rFonts w:cs="Calibri Light"/>
                <w:sz w:val="20"/>
                <w:szCs w:val="20"/>
              </w:rPr>
            </w:pPr>
            <w:r>
              <w:rPr>
                <w:rFonts w:cs="Calibri Light"/>
                <w:sz w:val="20"/>
                <w:szCs w:val="20"/>
              </w:rPr>
              <w:t>9.4</w:t>
            </w:r>
          </w:p>
        </w:tc>
        <w:tc>
          <w:tcPr>
            <w:tcW w:w="3339" w:type="dxa"/>
            <w:vMerge/>
            <w:vAlign w:val="center"/>
          </w:tcPr>
          <w:p w14:paraId="304CDAFF" w14:textId="7FD62B9C" w:rsidR="007D108E" w:rsidRDefault="007D108E" w:rsidP="00B46114">
            <w:pPr>
              <w:spacing w:before="0" w:after="0" w:line="240" w:lineRule="auto"/>
              <w:jc w:val="center"/>
              <w:rPr>
                <w:rFonts w:cs="Calibri Light"/>
                <w:sz w:val="20"/>
                <w:szCs w:val="20"/>
              </w:rPr>
            </w:pPr>
          </w:p>
        </w:tc>
        <w:tc>
          <w:tcPr>
            <w:tcW w:w="1348" w:type="dxa"/>
            <w:vAlign w:val="center"/>
          </w:tcPr>
          <w:p w14:paraId="1ECB49FD" w14:textId="1FE434A0" w:rsidR="007D108E" w:rsidRDefault="007D108E">
            <w:pPr>
              <w:spacing w:before="0" w:after="0" w:line="240" w:lineRule="auto"/>
              <w:jc w:val="center"/>
              <w:rPr>
                <w:rFonts w:cs="Calibri Light"/>
                <w:sz w:val="20"/>
                <w:szCs w:val="20"/>
              </w:rPr>
            </w:pPr>
            <w:r w:rsidRPr="00E00D76">
              <w:rPr>
                <w:rFonts w:cs="Calibri Light"/>
                <w:sz w:val="20"/>
                <w:szCs w:val="20"/>
              </w:rPr>
              <w:t>SWHC044C</w:t>
            </w:r>
          </w:p>
        </w:tc>
        <w:tc>
          <w:tcPr>
            <w:tcW w:w="1497" w:type="dxa"/>
            <w:vAlign w:val="center"/>
          </w:tcPr>
          <w:p w14:paraId="32BA1AC5" w14:textId="0B82183B" w:rsidR="007D108E" w:rsidRPr="00231EC0" w:rsidRDefault="007D108E">
            <w:pPr>
              <w:spacing w:before="0" w:after="0" w:line="240" w:lineRule="auto"/>
              <w:jc w:val="center"/>
              <w:rPr>
                <w:rFonts w:cs="Calibri Light"/>
                <w:sz w:val="20"/>
                <w:szCs w:val="20"/>
              </w:rPr>
            </w:pPr>
            <w:r>
              <w:rPr>
                <w:rFonts w:cs="Calibri Light"/>
                <w:sz w:val="20"/>
                <w:szCs w:val="20"/>
              </w:rPr>
              <w:t>SWHC044G</w:t>
            </w:r>
          </w:p>
        </w:tc>
      </w:tr>
      <w:tr w:rsidR="006B6D1E" w:rsidRPr="008D2389" w14:paraId="14F3EA1B" w14:textId="28A1C605" w:rsidTr="00B46114">
        <w:trPr>
          <w:trHeight w:val="179"/>
        </w:trPr>
        <w:tc>
          <w:tcPr>
            <w:tcW w:w="1098" w:type="dxa"/>
            <w:vMerge/>
            <w:shd w:val="clear" w:color="auto" w:fill="auto"/>
          </w:tcPr>
          <w:p w14:paraId="26D2248F" w14:textId="152FAE3A" w:rsidR="007D108E" w:rsidRDefault="007D108E" w:rsidP="007A2D03">
            <w:pPr>
              <w:spacing w:before="0" w:after="0" w:line="240" w:lineRule="auto"/>
              <w:jc w:val="center"/>
              <w:rPr>
                <w:rFonts w:cs="Calibri Light"/>
                <w:sz w:val="20"/>
                <w:szCs w:val="20"/>
              </w:rPr>
            </w:pPr>
          </w:p>
        </w:tc>
        <w:tc>
          <w:tcPr>
            <w:tcW w:w="697" w:type="dxa"/>
            <w:noWrap/>
            <w:vAlign w:val="center"/>
          </w:tcPr>
          <w:p w14:paraId="43FFD8AA" w14:textId="1BCFDEE2" w:rsidR="007D108E" w:rsidRDefault="007D108E">
            <w:pPr>
              <w:spacing w:before="0" w:after="0" w:line="240" w:lineRule="auto"/>
              <w:jc w:val="center"/>
              <w:rPr>
                <w:rFonts w:cs="Calibri Light"/>
                <w:sz w:val="20"/>
                <w:szCs w:val="20"/>
              </w:rPr>
            </w:pPr>
            <w:r>
              <w:rPr>
                <w:rFonts w:cs="Calibri Light"/>
                <w:sz w:val="20"/>
                <w:szCs w:val="20"/>
              </w:rPr>
              <w:t>Tier 4</w:t>
            </w:r>
          </w:p>
        </w:tc>
        <w:tc>
          <w:tcPr>
            <w:tcW w:w="883" w:type="dxa"/>
            <w:noWrap/>
            <w:vAlign w:val="center"/>
          </w:tcPr>
          <w:p w14:paraId="14C374E4" w14:textId="5EE94BF1" w:rsidR="007D108E" w:rsidRDefault="007D108E">
            <w:pPr>
              <w:spacing w:before="0" w:after="0" w:line="240" w:lineRule="auto"/>
              <w:jc w:val="center"/>
              <w:rPr>
                <w:rFonts w:cs="Calibri Light"/>
                <w:sz w:val="20"/>
                <w:szCs w:val="20"/>
              </w:rPr>
            </w:pPr>
            <w:r>
              <w:rPr>
                <w:rFonts w:cs="Calibri Light"/>
                <w:sz w:val="20"/>
                <w:szCs w:val="20"/>
              </w:rPr>
              <w:t>18</w:t>
            </w:r>
          </w:p>
        </w:tc>
        <w:tc>
          <w:tcPr>
            <w:tcW w:w="737" w:type="dxa"/>
            <w:vAlign w:val="center"/>
          </w:tcPr>
          <w:p w14:paraId="47B53153" w14:textId="10C39055" w:rsidR="007D108E" w:rsidRDefault="007D108E">
            <w:pPr>
              <w:spacing w:before="0" w:after="0" w:line="240" w:lineRule="auto"/>
              <w:jc w:val="center"/>
              <w:rPr>
                <w:rFonts w:cs="Calibri Light"/>
                <w:sz w:val="20"/>
                <w:szCs w:val="20"/>
              </w:rPr>
            </w:pPr>
            <w:r>
              <w:rPr>
                <w:rFonts w:cs="Calibri Light"/>
                <w:sz w:val="20"/>
                <w:szCs w:val="20"/>
              </w:rPr>
              <w:t>9.7</w:t>
            </w:r>
          </w:p>
        </w:tc>
        <w:tc>
          <w:tcPr>
            <w:tcW w:w="3339" w:type="dxa"/>
            <w:vMerge/>
            <w:vAlign w:val="center"/>
          </w:tcPr>
          <w:p w14:paraId="5ED6C531" w14:textId="461AD137" w:rsidR="007D108E" w:rsidRDefault="007D108E">
            <w:pPr>
              <w:spacing w:before="0" w:after="0" w:line="240" w:lineRule="auto"/>
              <w:jc w:val="center"/>
              <w:rPr>
                <w:rFonts w:cs="Calibri Light"/>
                <w:sz w:val="20"/>
                <w:szCs w:val="20"/>
              </w:rPr>
            </w:pPr>
          </w:p>
        </w:tc>
        <w:tc>
          <w:tcPr>
            <w:tcW w:w="1348" w:type="dxa"/>
            <w:vAlign w:val="center"/>
          </w:tcPr>
          <w:p w14:paraId="3A3402CB" w14:textId="331988A6" w:rsidR="007D108E" w:rsidRDefault="007D108E">
            <w:pPr>
              <w:spacing w:before="0" w:after="0" w:line="240" w:lineRule="auto"/>
              <w:jc w:val="center"/>
              <w:rPr>
                <w:rFonts w:cs="Calibri Light"/>
                <w:sz w:val="20"/>
                <w:szCs w:val="20"/>
              </w:rPr>
            </w:pPr>
            <w:r w:rsidRPr="00E00D76">
              <w:rPr>
                <w:rFonts w:cs="Calibri Light"/>
                <w:sz w:val="20"/>
                <w:szCs w:val="20"/>
              </w:rPr>
              <w:t>SWHC044D</w:t>
            </w:r>
          </w:p>
        </w:tc>
        <w:tc>
          <w:tcPr>
            <w:tcW w:w="1497" w:type="dxa"/>
            <w:vAlign w:val="center"/>
          </w:tcPr>
          <w:p w14:paraId="6136681C" w14:textId="2CE70FB3" w:rsidR="007D108E" w:rsidRPr="00231EC0" w:rsidRDefault="007D108E">
            <w:pPr>
              <w:spacing w:before="0" w:after="0" w:line="240" w:lineRule="auto"/>
              <w:jc w:val="center"/>
              <w:rPr>
                <w:rFonts w:cs="Calibri Light"/>
                <w:sz w:val="20"/>
                <w:szCs w:val="20"/>
              </w:rPr>
            </w:pPr>
            <w:r>
              <w:rPr>
                <w:rFonts w:cs="Calibri Light"/>
                <w:sz w:val="20"/>
                <w:szCs w:val="20"/>
              </w:rPr>
              <w:t>SWHC044H</w:t>
            </w:r>
          </w:p>
        </w:tc>
      </w:tr>
      <w:tr w:rsidR="006B6D1E" w:rsidRPr="008D2389" w14:paraId="5E7AA288" w14:textId="7F44E025" w:rsidTr="00B46114">
        <w:trPr>
          <w:trHeight w:val="179"/>
        </w:trPr>
        <w:tc>
          <w:tcPr>
            <w:tcW w:w="1098" w:type="dxa"/>
            <w:vMerge/>
            <w:shd w:val="clear" w:color="auto" w:fill="auto"/>
          </w:tcPr>
          <w:p w14:paraId="146C6C97" w14:textId="0EBDD167" w:rsidR="007D108E" w:rsidRDefault="007D108E" w:rsidP="00452320">
            <w:pPr>
              <w:spacing w:before="0" w:after="0" w:line="240" w:lineRule="auto"/>
              <w:jc w:val="center"/>
              <w:rPr>
                <w:rFonts w:cs="Calibri Light"/>
                <w:sz w:val="20"/>
                <w:szCs w:val="20"/>
              </w:rPr>
            </w:pPr>
          </w:p>
        </w:tc>
        <w:tc>
          <w:tcPr>
            <w:tcW w:w="697" w:type="dxa"/>
            <w:noWrap/>
            <w:vAlign w:val="center"/>
          </w:tcPr>
          <w:p w14:paraId="1E8E9488" w14:textId="58DAA470" w:rsidR="007D108E" w:rsidRDefault="007D108E" w:rsidP="00452320">
            <w:pPr>
              <w:spacing w:before="0" w:after="0" w:line="240" w:lineRule="auto"/>
              <w:jc w:val="center"/>
              <w:rPr>
                <w:rFonts w:cs="Calibri Light"/>
                <w:sz w:val="20"/>
                <w:szCs w:val="20"/>
              </w:rPr>
            </w:pPr>
            <w:r>
              <w:rPr>
                <w:rFonts w:cs="Calibri Light"/>
                <w:sz w:val="20"/>
                <w:szCs w:val="20"/>
              </w:rPr>
              <w:t>Tier 1</w:t>
            </w:r>
          </w:p>
        </w:tc>
        <w:tc>
          <w:tcPr>
            <w:tcW w:w="883" w:type="dxa"/>
            <w:noWrap/>
            <w:vAlign w:val="center"/>
          </w:tcPr>
          <w:p w14:paraId="5EE4D74F" w14:textId="56E34FB4" w:rsidR="007D108E" w:rsidRDefault="007D108E" w:rsidP="00452320">
            <w:pPr>
              <w:spacing w:before="0" w:after="0" w:line="240" w:lineRule="auto"/>
              <w:jc w:val="center"/>
              <w:rPr>
                <w:rFonts w:cs="Calibri Light"/>
                <w:sz w:val="20"/>
                <w:szCs w:val="20"/>
              </w:rPr>
            </w:pPr>
            <w:r>
              <w:rPr>
                <w:rFonts w:cs="Calibri Light"/>
                <w:sz w:val="20"/>
                <w:szCs w:val="20"/>
              </w:rPr>
              <w:t>15</w:t>
            </w:r>
          </w:p>
        </w:tc>
        <w:tc>
          <w:tcPr>
            <w:tcW w:w="737" w:type="dxa"/>
            <w:vAlign w:val="center"/>
          </w:tcPr>
          <w:p w14:paraId="0C24CA7E" w14:textId="759C1028" w:rsidR="007D108E" w:rsidRDefault="007D108E" w:rsidP="00452320">
            <w:pPr>
              <w:spacing w:before="0" w:after="0" w:line="240" w:lineRule="auto"/>
              <w:jc w:val="center"/>
              <w:rPr>
                <w:rFonts w:cs="Calibri Light"/>
                <w:sz w:val="20"/>
                <w:szCs w:val="20"/>
              </w:rPr>
            </w:pPr>
            <w:r>
              <w:rPr>
                <w:rFonts w:cs="Calibri Light"/>
                <w:sz w:val="20"/>
                <w:szCs w:val="20"/>
              </w:rPr>
              <w:t>8.7</w:t>
            </w:r>
          </w:p>
        </w:tc>
        <w:tc>
          <w:tcPr>
            <w:tcW w:w="3339" w:type="dxa"/>
            <w:vMerge w:val="restart"/>
            <w:vAlign w:val="center"/>
          </w:tcPr>
          <w:p w14:paraId="7A79009D" w14:textId="6A2347CD" w:rsidR="007D108E" w:rsidRPr="007A2D03" w:rsidRDefault="007D108E" w:rsidP="00231EC0">
            <w:pPr>
              <w:spacing w:before="0" w:after="0" w:line="240" w:lineRule="auto"/>
              <w:jc w:val="center"/>
              <w:rPr>
                <w:rFonts w:cs="Calibri Light"/>
                <w:sz w:val="20"/>
                <w:szCs w:val="20"/>
              </w:rPr>
            </w:pPr>
            <w:r w:rsidRPr="00AD2F64">
              <w:rPr>
                <w:rFonts w:cs="Calibri Light"/>
                <w:sz w:val="20"/>
                <w:szCs w:val="20"/>
              </w:rPr>
              <w:t>Standard Efficiency Wall Furnace (AFUE=67%)</w:t>
            </w:r>
          </w:p>
        </w:tc>
        <w:tc>
          <w:tcPr>
            <w:tcW w:w="1348" w:type="dxa"/>
            <w:vAlign w:val="center"/>
          </w:tcPr>
          <w:p w14:paraId="0F1973C2" w14:textId="51A73352" w:rsidR="007D108E" w:rsidRPr="007A2D03" w:rsidRDefault="007D108E">
            <w:pPr>
              <w:spacing w:before="0" w:after="0" w:line="240" w:lineRule="auto"/>
              <w:jc w:val="center"/>
              <w:rPr>
                <w:rFonts w:cs="Calibri Light"/>
                <w:sz w:val="20"/>
                <w:szCs w:val="20"/>
              </w:rPr>
            </w:pPr>
            <w:r w:rsidRPr="00E00D76">
              <w:rPr>
                <w:rFonts w:cs="Calibri Light"/>
                <w:sz w:val="20"/>
                <w:szCs w:val="20"/>
              </w:rPr>
              <w:t>SWHC044I</w:t>
            </w:r>
          </w:p>
        </w:tc>
        <w:tc>
          <w:tcPr>
            <w:tcW w:w="1497" w:type="dxa"/>
            <w:vAlign w:val="center"/>
          </w:tcPr>
          <w:p w14:paraId="1057F3D0" w14:textId="28911985" w:rsidR="007D108E" w:rsidRPr="00231EC0" w:rsidRDefault="007D108E">
            <w:pPr>
              <w:spacing w:before="0" w:after="0" w:line="240" w:lineRule="auto"/>
              <w:jc w:val="center"/>
              <w:rPr>
                <w:rFonts w:cs="Calibri Light"/>
                <w:sz w:val="20"/>
                <w:szCs w:val="20"/>
              </w:rPr>
            </w:pPr>
            <w:r>
              <w:rPr>
                <w:rFonts w:cs="Calibri Light"/>
                <w:sz w:val="20"/>
                <w:szCs w:val="20"/>
              </w:rPr>
              <w:t>SWHC044M</w:t>
            </w:r>
          </w:p>
        </w:tc>
      </w:tr>
      <w:tr w:rsidR="006B6D1E" w:rsidRPr="008D2389" w14:paraId="21E69A65" w14:textId="19313C85" w:rsidTr="00B46114">
        <w:trPr>
          <w:trHeight w:val="179"/>
        </w:trPr>
        <w:tc>
          <w:tcPr>
            <w:tcW w:w="1098" w:type="dxa"/>
            <w:vMerge/>
            <w:shd w:val="clear" w:color="auto" w:fill="auto"/>
          </w:tcPr>
          <w:p w14:paraId="6B255304" w14:textId="3F963CBD" w:rsidR="007D108E" w:rsidRDefault="007D108E" w:rsidP="00452320">
            <w:pPr>
              <w:spacing w:before="0" w:after="0" w:line="240" w:lineRule="auto"/>
              <w:jc w:val="center"/>
              <w:rPr>
                <w:rFonts w:cs="Calibri Light"/>
                <w:sz w:val="20"/>
                <w:szCs w:val="20"/>
              </w:rPr>
            </w:pPr>
          </w:p>
        </w:tc>
        <w:tc>
          <w:tcPr>
            <w:tcW w:w="697" w:type="dxa"/>
            <w:noWrap/>
            <w:vAlign w:val="center"/>
          </w:tcPr>
          <w:p w14:paraId="11EEA370" w14:textId="5BA00322" w:rsidR="007D108E" w:rsidRDefault="007D108E" w:rsidP="00452320">
            <w:pPr>
              <w:spacing w:before="0" w:after="0" w:line="240" w:lineRule="auto"/>
              <w:jc w:val="center"/>
              <w:rPr>
                <w:rFonts w:cs="Calibri Light"/>
                <w:sz w:val="20"/>
                <w:szCs w:val="20"/>
              </w:rPr>
            </w:pPr>
            <w:r>
              <w:rPr>
                <w:rFonts w:cs="Calibri Light"/>
                <w:sz w:val="20"/>
                <w:szCs w:val="20"/>
              </w:rPr>
              <w:t>Tier 2</w:t>
            </w:r>
          </w:p>
        </w:tc>
        <w:tc>
          <w:tcPr>
            <w:tcW w:w="883" w:type="dxa"/>
            <w:noWrap/>
            <w:vAlign w:val="center"/>
          </w:tcPr>
          <w:p w14:paraId="0B00B138" w14:textId="24A5085E" w:rsidR="007D108E" w:rsidRDefault="007D108E" w:rsidP="00452320">
            <w:pPr>
              <w:spacing w:before="0" w:after="0" w:line="240" w:lineRule="auto"/>
              <w:jc w:val="center"/>
              <w:rPr>
                <w:rFonts w:cs="Calibri Light"/>
                <w:sz w:val="20"/>
                <w:szCs w:val="20"/>
              </w:rPr>
            </w:pPr>
            <w:r>
              <w:rPr>
                <w:rFonts w:cs="Calibri Light"/>
                <w:sz w:val="20"/>
                <w:szCs w:val="20"/>
              </w:rPr>
              <w:t>16</w:t>
            </w:r>
          </w:p>
        </w:tc>
        <w:tc>
          <w:tcPr>
            <w:tcW w:w="737" w:type="dxa"/>
            <w:vAlign w:val="center"/>
          </w:tcPr>
          <w:p w14:paraId="349B674B" w14:textId="1668B0DA" w:rsidR="007D108E" w:rsidRDefault="007D108E" w:rsidP="00452320">
            <w:pPr>
              <w:spacing w:before="0" w:after="0" w:line="240" w:lineRule="auto"/>
              <w:jc w:val="center"/>
              <w:rPr>
                <w:rFonts w:cs="Calibri Light"/>
                <w:sz w:val="20"/>
                <w:szCs w:val="20"/>
              </w:rPr>
            </w:pPr>
            <w:r>
              <w:rPr>
                <w:rFonts w:cs="Calibri Light"/>
                <w:sz w:val="20"/>
                <w:szCs w:val="20"/>
              </w:rPr>
              <w:t>9.0</w:t>
            </w:r>
          </w:p>
        </w:tc>
        <w:tc>
          <w:tcPr>
            <w:tcW w:w="3339" w:type="dxa"/>
            <w:vMerge/>
            <w:vAlign w:val="center"/>
          </w:tcPr>
          <w:p w14:paraId="48D679B1" w14:textId="5E09C651" w:rsidR="007D108E" w:rsidRPr="007A2D03" w:rsidRDefault="007D108E" w:rsidP="00452320">
            <w:pPr>
              <w:spacing w:before="0" w:after="0" w:line="240" w:lineRule="auto"/>
              <w:jc w:val="center"/>
              <w:rPr>
                <w:rFonts w:cs="Calibri Light"/>
                <w:sz w:val="20"/>
                <w:szCs w:val="20"/>
              </w:rPr>
            </w:pPr>
          </w:p>
        </w:tc>
        <w:tc>
          <w:tcPr>
            <w:tcW w:w="1348" w:type="dxa"/>
            <w:vAlign w:val="center"/>
          </w:tcPr>
          <w:p w14:paraId="67076625" w14:textId="67EEB735" w:rsidR="007D108E" w:rsidRPr="007A2D03" w:rsidRDefault="007D108E">
            <w:pPr>
              <w:spacing w:before="0" w:after="0" w:line="240" w:lineRule="auto"/>
              <w:jc w:val="center"/>
              <w:rPr>
                <w:rFonts w:cs="Calibri Light"/>
                <w:sz w:val="20"/>
                <w:szCs w:val="20"/>
              </w:rPr>
            </w:pPr>
            <w:r w:rsidRPr="00E00D76">
              <w:rPr>
                <w:rFonts w:cs="Calibri Light"/>
                <w:sz w:val="20"/>
                <w:szCs w:val="20"/>
              </w:rPr>
              <w:t>SWHC044J</w:t>
            </w:r>
          </w:p>
        </w:tc>
        <w:tc>
          <w:tcPr>
            <w:tcW w:w="1497" w:type="dxa"/>
            <w:vAlign w:val="center"/>
          </w:tcPr>
          <w:p w14:paraId="10EB7883" w14:textId="2E60E26F" w:rsidR="007D108E" w:rsidRPr="00231EC0" w:rsidRDefault="007D108E">
            <w:pPr>
              <w:spacing w:before="0" w:after="0" w:line="240" w:lineRule="auto"/>
              <w:jc w:val="center"/>
              <w:rPr>
                <w:rFonts w:cs="Calibri Light"/>
                <w:sz w:val="20"/>
                <w:szCs w:val="20"/>
              </w:rPr>
            </w:pPr>
            <w:r>
              <w:rPr>
                <w:rFonts w:cs="Calibri Light"/>
                <w:sz w:val="20"/>
                <w:szCs w:val="20"/>
              </w:rPr>
              <w:t>SWHC044N</w:t>
            </w:r>
          </w:p>
        </w:tc>
      </w:tr>
      <w:tr w:rsidR="006B6D1E" w:rsidRPr="008D2389" w14:paraId="21BFAED8" w14:textId="347AE3ED" w:rsidTr="00B46114">
        <w:trPr>
          <w:trHeight w:val="179"/>
        </w:trPr>
        <w:tc>
          <w:tcPr>
            <w:tcW w:w="1098" w:type="dxa"/>
            <w:vMerge/>
            <w:shd w:val="clear" w:color="auto" w:fill="auto"/>
          </w:tcPr>
          <w:p w14:paraId="7961742B" w14:textId="286AEB18" w:rsidR="007D108E" w:rsidRDefault="007D108E" w:rsidP="00452320">
            <w:pPr>
              <w:spacing w:before="0" w:after="0" w:line="240" w:lineRule="auto"/>
              <w:jc w:val="center"/>
              <w:rPr>
                <w:rFonts w:cs="Calibri Light"/>
                <w:sz w:val="20"/>
                <w:szCs w:val="20"/>
              </w:rPr>
            </w:pPr>
          </w:p>
        </w:tc>
        <w:tc>
          <w:tcPr>
            <w:tcW w:w="697" w:type="dxa"/>
            <w:noWrap/>
            <w:vAlign w:val="center"/>
          </w:tcPr>
          <w:p w14:paraId="2AB29753" w14:textId="06BA648E" w:rsidR="007D108E" w:rsidRDefault="007D108E" w:rsidP="00452320">
            <w:pPr>
              <w:spacing w:before="0" w:after="0" w:line="240" w:lineRule="auto"/>
              <w:jc w:val="center"/>
              <w:rPr>
                <w:rFonts w:cs="Calibri Light"/>
                <w:sz w:val="20"/>
                <w:szCs w:val="20"/>
              </w:rPr>
            </w:pPr>
            <w:r>
              <w:rPr>
                <w:rFonts w:cs="Calibri Light"/>
                <w:sz w:val="20"/>
                <w:szCs w:val="20"/>
              </w:rPr>
              <w:t>Tier 3</w:t>
            </w:r>
          </w:p>
        </w:tc>
        <w:tc>
          <w:tcPr>
            <w:tcW w:w="883" w:type="dxa"/>
            <w:noWrap/>
            <w:vAlign w:val="center"/>
          </w:tcPr>
          <w:p w14:paraId="20640ED1" w14:textId="37B03F54" w:rsidR="007D108E" w:rsidRDefault="007D108E" w:rsidP="00452320">
            <w:pPr>
              <w:spacing w:before="0" w:after="0" w:line="240" w:lineRule="auto"/>
              <w:jc w:val="center"/>
              <w:rPr>
                <w:rFonts w:cs="Calibri Light"/>
                <w:sz w:val="20"/>
                <w:szCs w:val="20"/>
              </w:rPr>
            </w:pPr>
            <w:r>
              <w:rPr>
                <w:rFonts w:cs="Calibri Light"/>
                <w:sz w:val="20"/>
                <w:szCs w:val="20"/>
              </w:rPr>
              <w:t>17</w:t>
            </w:r>
          </w:p>
        </w:tc>
        <w:tc>
          <w:tcPr>
            <w:tcW w:w="737" w:type="dxa"/>
            <w:vAlign w:val="center"/>
          </w:tcPr>
          <w:p w14:paraId="39991C3A" w14:textId="4BF75993" w:rsidR="007D108E" w:rsidRDefault="007D108E" w:rsidP="00452320">
            <w:pPr>
              <w:spacing w:before="0" w:after="0" w:line="240" w:lineRule="auto"/>
              <w:jc w:val="center"/>
              <w:rPr>
                <w:rFonts w:cs="Calibri Light"/>
                <w:sz w:val="20"/>
                <w:szCs w:val="20"/>
              </w:rPr>
            </w:pPr>
            <w:r>
              <w:rPr>
                <w:rFonts w:cs="Calibri Light"/>
                <w:sz w:val="20"/>
                <w:szCs w:val="20"/>
              </w:rPr>
              <w:t>9.4</w:t>
            </w:r>
          </w:p>
        </w:tc>
        <w:tc>
          <w:tcPr>
            <w:tcW w:w="3339" w:type="dxa"/>
            <w:vMerge/>
            <w:vAlign w:val="center"/>
          </w:tcPr>
          <w:p w14:paraId="41DCAEAB" w14:textId="123BA0B7" w:rsidR="007D108E" w:rsidRPr="007A2D03" w:rsidRDefault="007D108E" w:rsidP="00452320">
            <w:pPr>
              <w:spacing w:before="0" w:after="0" w:line="240" w:lineRule="auto"/>
              <w:jc w:val="center"/>
              <w:rPr>
                <w:rFonts w:cs="Calibri Light"/>
                <w:sz w:val="20"/>
                <w:szCs w:val="20"/>
              </w:rPr>
            </w:pPr>
          </w:p>
        </w:tc>
        <w:tc>
          <w:tcPr>
            <w:tcW w:w="1348" w:type="dxa"/>
            <w:vAlign w:val="center"/>
          </w:tcPr>
          <w:p w14:paraId="4A25A88B" w14:textId="4D25D94A" w:rsidR="007D108E" w:rsidRPr="007A2D03" w:rsidRDefault="007D108E">
            <w:pPr>
              <w:spacing w:before="0" w:after="0" w:line="240" w:lineRule="auto"/>
              <w:jc w:val="center"/>
              <w:rPr>
                <w:rFonts w:cs="Calibri Light"/>
                <w:sz w:val="20"/>
                <w:szCs w:val="20"/>
              </w:rPr>
            </w:pPr>
            <w:r w:rsidRPr="00E00D76">
              <w:rPr>
                <w:rFonts w:cs="Calibri Light"/>
                <w:sz w:val="20"/>
                <w:szCs w:val="20"/>
              </w:rPr>
              <w:t>SWHC044K</w:t>
            </w:r>
          </w:p>
        </w:tc>
        <w:tc>
          <w:tcPr>
            <w:tcW w:w="1497" w:type="dxa"/>
            <w:vAlign w:val="center"/>
          </w:tcPr>
          <w:p w14:paraId="6986C6A0" w14:textId="58B69382" w:rsidR="007D108E" w:rsidRPr="00231EC0" w:rsidRDefault="007D108E">
            <w:pPr>
              <w:spacing w:before="0" w:after="0" w:line="240" w:lineRule="auto"/>
              <w:jc w:val="center"/>
              <w:rPr>
                <w:rFonts w:cs="Calibri Light"/>
                <w:sz w:val="20"/>
                <w:szCs w:val="20"/>
              </w:rPr>
            </w:pPr>
            <w:r>
              <w:rPr>
                <w:rFonts w:cs="Calibri Light"/>
                <w:sz w:val="20"/>
                <w:szCs w:val="20"/>
              </w:rPr>
              <w:t>SWHC044O</w:t>
            </w:r>
          </w:p>
        </w:tc>
      </w:tr>
      <w:tr w:rsidR="006B6D1E" w:rsidRPr="008D2389" w14:paraId="632A7E93" w14:textId="727EC58F" w:rsidTr="00B46114">
        <w:trPr>
          <w:trHeight w:val="179"/>
        </w:trPr>
        <w:tc>
          <w:tcPr>
            <w:tcW w:w="1098" w:type="dxa"/>
            <w:vMerge/>
            <w:shd w:val="clear" w:color="auto" w:fill="auto"/>
          </w:tcPr>
          <w:p w14:paraId="33113CBA" w14:textId="77777777" w:rsidR="007D108E" w:rsidRDefault="007D108E" w:rsidP="00452320">
            <w:pPr>
              <w:spacing w:before="0" w:after="0" w:line="240" w:lineRule="auto"/>
              <w:jc w:val="center"/>
              <w:rPr>
                <w:rFonts w:cs="Calibri Light"/>
                <w:sz w:val="20"/>
                <w:szCs w:val="20"/>
              </w:rPr>
            </w:pPr>
          </w:p>
        </w:tc>
        <w:tc>
          <w:tcPr>
            <w:tcW w:w="697" w:type="dxa"/>
            <w:noWrap/>
            <w:vAlign w:val="center"/>
          </w:tcPr>
          <w:p w14:paraId="37538D21" w14:textId="10CE9366" w:rsidR="007D108E" w:rsidRDefault="007D108E" w:rsidP="00452320">
            <w:pPr>
              <w:spacing w:before="0" w:after="0" w:line="240" w:lineRule="auto"/>
              <w:jc w:val="center"/>
              <w:rPr>
                <w:rFonts w:cs="Calibri Light"/>
                <w:sz w:val="20"/>
                <w:szCs w:val="20"/>
              </w:rPr>
            </w:pPr>
            <w:r>
              <w:rPr>
                <w:rFonts w:cs="Calibri Light"/>
                <w:sz w:val="20"/>
                <w:szCs w:val="20"/>
              </w:rPr>
              <w:t>Tier 4</w:t>
            </w:r>
          </w:p>
        </w:tc>
        <w:tc>
          <w:tcPr>
            <w:tcW w:w="883" w:type="dxa"/>
            <w:noWrap/>
            <w:vAlign w:val="center"/>
          </w:tcPr>
          <w:p w14:paraId="1B59F180" w14:textId="5FF97C68" w:rsidR="007D108E" w:rsidRDefault="007D108E" w:rsidP="00452320">
            <w:pPr>
              <w:spacing w:before="0" w:after="0" w:line="240" w:lineRule="auto"/>
              <w:jc w:val="center"/>
              <w:rPr>
                <w:rFonts w:cs="Calibri Light"/>
                <w:sz w:val="20"/>
                <w:szCs w:val="20"/>
              </w:rPr>
            </w:pPr>
            <w:r>
              <w:rPr>
                <w:rFonts w:cs="Calibri Light"/>
                <w:sz w:val="20"/>
                <w:szCs w:val="20"/>
              </w:rPr>
              <w:t>18</w:t>
            </w:r>
          </w:p>
        </w:tc>
        <w:tc>
          <w:tcPr>
            <w:tcW w:w="737" w:type="dxa"/>
            <w:vAlign w:val="center"/>
          </w:tcPr>
          <w:p w14:paraId="64926C0D" w14:textId="400DCEDD" w:rsidR="007D108E" w:rsidRDefault="007D108E" w:rsidP="00452320">
            <w:pPr>
              <w:spacing w:before="0" w:after="0" w:line="240" w:lineRule="auto"/>
              <w:jc w:val="center"/>
              <w:rPr>
                <w:rFonts w:cs="Calibri Light"/>
                <w:sz w:val="20"/>
                <w:szCs w:val="20"/>
              </w:rPr>
            </w:pPr>
            <w:r>
              <w:rPr>
                <w:rFonts w:cs="Calibri Light"/>
                <w:sz w:val="20"/>
                <w:szCs w:val="20"/>
              </w:rPr>
              <w:t>9.7</w:t>
            </w:r>
          </w:p>
        </w:tc>
        <w:tc>
          <w:tcPr>
            <w:tcW w:w="3339" w:type="dxa"/>
            <w:vMerge/>
            <w:vAlign w:val="center"/>
          </w:tcPr>
          <w:p w14:paraId="60482389" w14:textId="21837A18" w:rsidR="007D108E" w:rsidRPr="007A2D03" w:rsidRDefault="007D108E" w:rsidP="00452320">
            <w:pPr>
              <w:spacing w:before="0" w:after="0" w:line="240" w:lineRule="auto"/>
              <w:jc w:val="center"/>
              <w:rPr>
                <w:rFonts w:cs="Calibri Light"/>
                <w:sz w:val="20"/>
                <w:szCs w:val="20"/>
              </w:rPr>
            </w:pPr>
          </w:p>
        </w:tc>
        <w:tc>
          <w:tcPr>
            <w:tcW w:w="1348" w:type="dxa"/>
            <w:vAlign w:val="center"/>
          </w:tcPr>
          <w:p w14:paraId="4A881F6D" w14:textId="0EC3D907" w:rsidR="007D108E" w:rsidRPr="007A2D03" w:rsidRDefault="007D108E">
            <w:pPr>
              <w:spacing w:before="0" w:after="0" w:line="240" w:lineRule="auto"/>
              <w:jc w:val="center"/>
              <w:rPr>
                <w:rFonts w:cs="Calibri Light"/>
                <w:sz w:val="20"/>
                <w:szCs w:val="20"/>
              </w:rPr>
            </w:pPr>
            <w:r w:rsidRPr="00E00D76">
              <w:rPr>
                <w:rFonts w:cs="Calibri Light"/>
                <w:sz w:val="20"/>
                <w:szCs w:val="20"/>
              </w:rPr>
              <w:t>SWHC044L</w:t>
            </w:r>
          </w:p>
        </w:tc>
        <w:tc>
          <w:tcPr>
            <w:tcW w:w="1497" w:type="dxa"/>
            <w:vAlign w:val="center"/>
          </w:tcPr>
          <w:p w14:paraId="046DEC33" w14:textId="2BB69F93" w:rsidR="007D108E" w:rsidRPr="00231EC0" w:rsidRDefault="007D108E">
            <w:pPr>
              <w:spacing w:before="0" w:after="0" w:line="240" w:lineRule="auto"/>
              <w:jc w:val="center"/>
              <w:rPr>
                <w:rFonts w:cs="Calibri Light"/>
                <w:sz w:val="20"/>
                <w:szCs w:val="20"/>
              </w:rPr>
            </w:pPr>
            <w:r>
              <w:rPr>
                <w:rFonts w:cs="Calibri Light"/>
                <w:sz w:val="20"/>
                <w:szCs w:val="20"/>
              </w:rPr>
              <w:t>SWHC044P</w:t>
            </w:r>
          </w:p>
        </w:tc>
      </w:tr>
    </w:tbl>
    <w:p w14:paraId="0B73D5FF" w14:textId="77777777" w:rsidR="003B24EC" w:rsidRDefault="003B24EC" w:rsidP="00B13E72">
      <w:pPr>
        <w:jc w:val="both"/>
      </w:pPr>
    </w:p>
    <w:p w14:paraId="5BB30613" w14:textId="77BF618F" w:rsidR="00375BD8" w:rsidRPr="00C6243E" w:rsidRDefault="00375BD8" w:rsidP="00B13E72">
      <w:pPr>
        <w:pStyle w:val="eTRMHeading3"/>
        <w:jc w:val="both"/>
        <w:rPr>
          <w:rFonts w:cs="Calibri Light"/>
        </w:rPr>
      </w:pPr>
      <w:bookmarkStart w:id="12" w:name="_Toc486490849"/>
      <w:bookmarkStart w:id="13" w:name="_Toc486580920"/>
      <w:bookmarkStart w:id="14" w:name="_Toc64561058"/>
      <w:r w:rsidRPr="00C6243E">
        <w:rPr>
          <w:rFonts w:cs="Calibri Light"/>
        </w:rPr>
        <w:t>Base Case Description</w:t>
      </w:r>
      <w:bookmarkEnd w:id="12"/>
      <w:bookmarkEnd w:id="13"/>
      <w:bookmarkEnd w:id="14"/>
      <w:r w:rsidRPr="00C6243E">
        <w:rPr>
          <w:rFonts w:cs="Calibri Light"/>
        </w:rPr>
        <w:t xml:space="preserve"> </w:t>
      </w:r>
    </w:p>
    <w:p w14:paraId="73DB52DC" w14:textId="5C64F43F" w:rsidR="00521EE3" w:rsidRDefault="00375BD8" w:rsidP="00297A1F">
      <w:pPr>
        <w:pStyle w:val="Default"/>
        <w:jc w:val="both"/>
        <w:rPr>
          <w:sz w:val="22"/>
          <w:szCs w:val="22"/>
        </w:rPr>
      </w:pPr>
      <w:r w:rsidRPr="00036074">
        <w:rPr>
          <w:sz w:val="22"/>
          <w:szCs w:val="22"/>
        </w:rPr>
        <w:t>The base case is defined as</w:t>
      </w:r>
      <w:r w:rsidR="007363AD">
        <w:rPr>
          <w:sz w:val="22"/>
          <w:szCs w:val="22"/>
        </w:rPr>
        <w:t xml:space="preserve"> either</w:t>
      </w:r>
      <w:r w:rsidRPr="00036074">
        <w:rPr>
          <w:sz w:val="22"/>
          <w:szCs w:val="22"/>
        </w:rPr>
        <w:t xml:space="preserve"> a</w:t>
      </w:r>
      <w:r w:rsidR="005E07C4">
        <w:rPr>
          <w:sz w:val="22"/>
          <w:szCs w:val="22"/>
        </w:rPr>
        <w:t xml:space="preserve"> system with both a</w:t>
      </w:r>
      <w:r w:rsidR="00A3215B">
        <w:rPr>
          <w:sz w:val="22"/>
          <w:szCs w:val="22"/>
        </w:rPr>
        <w:t xml:space="preserve"> </w:t>
      </w:r>
      <w:r w:rsidR="00592293">
        <w:rPr>
          <w:sz w:val="22"/>
          <w:szCs w:val="22"/>
        </w:rPr>
        <w:t xml:space="preserve">natural gas </w:t>
      </w:r>
      <w:r w:rsidR="00826AE2">
        <w:rPr>
          <w:sz w:val="22"/>
          <w:szCs w:val="22"/>
        </w:rPr>
        <w:t xml:space="preserve">gravity </w:t>
      </w:r>
      <w:r w:rsidR="00592293">
        <w:rPr>
          <w:sz w:val="22"/>
          <w:szCs w:val="22"/>
        </w:rPr>
        <w:t>w</w:t>
      </w:r>
      <w:r w:rsidR="00A3215B">
        <w:rPr>
          <w:sz w:val="22"/>
          <w:szCs w:val="22"/>
        </w:rPr>
        <w:t xml:space="preserve">all furnace and </w:t>
      </w:r>
      <w:r w:rsidR="00592293">
        <w:rPr>
          <w:sz w:val="22"/>
          <w:szCs w:val="22"/>
        </w:rPr>
        <w:t xml:space="preserve">an electric </w:t>
      </w:r>
      <w:r w:rsidR="003E555C">
        <w:rPr>
          <w:sz w:val="22"/>
          <w:szCs w:val="22"/>
        </w:rPr>
        <w:t xml:space="preserve">window </w:t>
      </w:r>
      <w:r w:rsidR="00A3215B">
        <w:rPr>
          <w:sz w:val="22"/>
          <w:szCs w:val="22"/>
        </w:rPr>
        <w:t>air conditioner unit</w:t>
      </w:r>
      <w:r w:rsidR="007363AD">
        <w:rPr>
          <w:sz w:val="22"/>
          <w:szCs w:val="22"/>
        </w:rPr>
        <w:t>, or a system with only a natural gas gravity wall furnace</w:t>
      </w:r>
      <w:r w:rsidR="001B1861">
        <w:rPr>
          <w:sz w:val="22"/>
          <w:szCs w:val="22"/>
        </w:rPr>
        <w:t xml:space="preserve"> and no existing cooling unit or load</w:t>
      </w:r>
      <w:r w:rsidR="007363AD">
        <w:rPr>
          <w:sz w:val="22"/>
          <w:szCs w:val="22"/>
        </w:rPr>
        <w:t xml:space="preserve">. </w:t>
      </w:r>
    </w:p>
    <w:p w14:paraId="36D9F308" w14:textId="77777777" w:rsidR="005E07C4" w:rsidRDefault="005E07C4" w:rsidP="00297A1F">
      <w:pPr>
        <w:pStyle w:val="Default"/>
        <w:jc w:val="both"/>
        <w:rPr>
          <w:sz w:val="22"/>
          <w:szCs w:val="22"/>
        </w:rPr>
      </w:pPr>
    </w:p>
    <w:p w14:paraId="0C9CBAEA" w14:textId="73FCF2D0" w:rsidR="00D343E2" w:rsidRDefault="00297A1F" w:rsidP="00D343E2">
      <w:pPr>
        <w:pStyle w:val="Default"/>
        <w:jc w:val="both"/>
        <w:rPr>
          <w:sz w:val="22"/>
          <w:szCs w:val="20"/>
        </w:rPr>
      </w:pPr>
      <w:r w:rsidRPr="00E51366">
        <w:rPr>
          <w:sz w:val="22"/>
          <w:szCs w:val="20"/>
        </w:rPr>
        <w:t>The baseline system sizes for this measure can vary per household</w:t>
      </w:r>
      <w:r w:rsidR="00D343E2">
        <w:rPr>
          <w:sz w:val="22"/>
          <w:szCs w:val="20"/>
        </w:rPr>
        <w:t xml:space="preserve">. Due to the total capacities found in the Single Family and Mobile Home </w:t>
      </w:r>
      <w:r w:rsidR="00570C81">
        <w:rPr>
          <w:sz w:val="22"/>
          <w:szCs w:val="20"/>
        </w:rPr>
        <w:t xml:space="preserve">DEER2020 </w:t>
      </w:r>
      <w:r w:rsidR="00D343E2">
        <w:rPr>
          <w:sz w:val="22"/>
          <w:szCs w:val="20"/>
        </w:rPr>
        <w:t xml:space="preserve">prototypes it is assumed that those systems </w:t>
      </w:r>
      <w:r w:rsidR="001B1861">
        <w:rPr>
          <w:sz w:val="22"/>
          <w:szCs w:val="20"/>
        </w:rPr>
        <w:t xml:space="preserve">which have an existing cooling load, </w:t>
      </w:r>
      <w:r w:rsidR="00D343E2">
        <w:rPr>
          <w:sz w:val="22"/>
          <w:szCs w:val="20"/>
        </w:rPr>
        <w:t xml:space="preserve">include two window ACs and furnaces each. </w:t>
      </w:r>
      <w:r w:rsidR="001B1861">
        <w:rPr>
          <w:sz w:val="22"/>
          <w:szCs w:val="20"/>
        </w:rPr>
        <w:t xml:space="preserve">For baseline system sizes without an existing cooling load, it is assumed that those systems include two furnaces each. </w:t>
      </w:r>
      <w:r w:rsidR="00D343E2">
        <w:rPr>
          <w:sz w:val="22"/>
          <w:szCs w:val="20"/>
        </w:rPr>
        <w:t>The capacity ranges for the individual HVAC units shown below were used to select the applicable code efficiencies. For each range, the most efficient code efficiency was used for the base case.</w:t>
      </w:r>
      <w:r w:rsidR="00570C81" w:rsidRPr="00570C81">
        <w:rPr>
          <w:sz w:val="22"/>
          <w:szCs w:val="20"/>
        </w:rPr>
        <w:t xml:space="preserve"> </w:t>
      </w:r>
      <w:r w:rsidR="00570C81">
        <w:rPr>
          <w:sz w:val="22"/>
          <w:szCs w:val="20"/>
        </w:rPr>
        <w:t xml:space="preserve">See the table below for the baseline equipment sizing assumptions obtained from the DEER2020 eQuest prototypes. </w:t>
      </w:r>
      <w:r w:rsidR="00D343E2">
        <w:rPr>
          <w:sz w:val="22"/>
          <w:szCs w:val="20"/>
        </w:rPr>
        <w:t xml:space="preserve"> </w:t>
      </w:r>
    </w:p>
    <w:p w14:paraId="211D98DE" w14:textId="7C4F5CE9" w:rsidR="007E2FAC" w:rsidRDefault="007E2FAC" w:rsidP="00D343E2">
      <w:pPr>
        <w:pStyle w:val="Default"/>
        <w:jc w:val="both"/>
        <w:rPr>
          <w:sz w:val="22"/>
          <w:szCs w:val="20"/>
        </w:rPr>
      </w:pPr>
      <w:r>
        <w:rPr>
          <w:sz w:val="22"/>
          <w:szCs w:val="20"/>
        </w:rPr>
        <w:t>For the base case with</w:t>
      </w:r>
      <w:r w:rsidR="001B1861">
        <w:rPr>
          <w:sz w:val="22"/>
          <w:szCs w:val="20"/>
        </w:rPr>
        <w:t xml:space="preserve">out an </w:t>
      </w:r>
      <w:r>
        <w:rPr>
          <w:sz w:val="22"/>
          <w:szCs w:val="20"/>
        </w:rPr>
        <w:t xml:space="preserve">existing AC load, the </w:t>
      </w:r>
      <w:r w:rsidR="001B1861">
        <w:rPr>
          <w:sz w:val="22"/>
          <w:szCs w:val="20"/>
        </w:rPr>
        <w:t>savings are only from the</w:t>
      </w:r>
      <w:r>
        <w:rPr>
          <w:sz w:val="22"/>
          <w:szCs w:val="20"/>
        </w:rPr>
        <w:t xml:space="preserve"> heating load. </w:t>
      </w:r>
    </w:p>
    <w:p w14:paraId="73BB4DCA" w14:textId="77777777" w:rsidR="00D343E2" w:rsidRPr="00D52C43" w:rsidRDefault="00D343E2" w:rsidP="00D343E2">
      <w:pPr>
        <w:jc w:val="both"/>
        <w:rPr>
          <w:rFonts w:cs="Calibri Light"/>
          <w:b/>
          <w:szCs w:val="20"/>
        </w:rPr>
      </w:pPr>
      <w:r>
        <w:rPr>
          <w:b/>
          <w:szCs w:val="20"/>
        </w:rPr>
        <w:t>Base Case System Sizing Assumptions</w:t>
      </w:r>
    </w:p>
    <w:tbl>
      <w:tblPr>
        <w:tblStyle w:val="TableGrid1"/>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415"/>
        <w:gridCol w:w="1619"/>
        <w:gridCol w:w="1532"/>
        <w:gridCol w:w="1350"/>
        <w:gridCol w:w="1434"/>
      </w:tblGrid>
      <w:tr w:rsidR="00D343E2" w14:paraId="273C9145" w14:textId="77777777" w:rsidTr="00740400">
        <w:trPr>
          <w:trHeight w:val="58"/>
          <w:tblHeader/>
        </w:trPr>
        <w:tc>
          <w:tcPr>
            <w:tcW w:w="1826"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bottom"/>
          </w:tcPr>
          <w:p w14:paraId="73A433B8" w14:textId="77777777" w:rsidR="00D343E2" w:rsidRPr="00E51366" w:rsidRDefault="00D343E2" w:rsidP="00740400">
            <w:pPr>
              <w:spacing w:before="0" w:after="0" w:line="240" w:lineRule="auto"/>
              <w:jc w:val="center"/>
              <w:rPr>
                <w:rFonts w:cs="Calibri"/>
                <w:b/>
                <w:bCs/>
                <w:sz w:val="18"/>
                <w:szCs w:val="18"/>
              </w:rPr>
            </w:pPr>
            <w:r w:rsidRPr="00E51366">
              <w:rPr>
                <w:rFonts w:ascii="Calibri" w:hAnsi="Calibri" w:cs="Calibri"/>
                <w:b/>
                <w:bCs/>
                <w:color w:val="000000"/>
                <w:sz w:val="18"/>
                <w:szCs w:val="18"/>
              </w:rPr>
              <w:t>Value</w:t>
            </w:r>
          </w:p>
        </w:tc>
        <w:tc>
          <w:tcPr>
            <w:tcW w:w="866"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bottom"/>
          </w:tcPr>
          <w:p w14:paraId="7D610510" w14:textId="77777777" w:rsidR="00D343E2" w:rsidRPr="00E51366" w:rsidRDefault="00D343E2" w:rsidP="00740400">
            <w:pPr>
              <w:spacing w:before="0" w:after="0" w:line="240" w:lineRule="auto"/>
              <w:jc w:val="center"/>
              <w:rPr>
                <w:rFonts w:cs="Arial"/>
                <w:b/>
                <w:sz w:val="18"/>
                <w:szCs w:val="18"/>
              </w:rPr>
            </w:pPr>
            <w:r w:rsidRPr="00E51366">
              <w:rPr>
                <w:rFonts w:ascii="Calibri" w:hAnsi="Calibri" w:cs="Calibri"/>
                <w:b/>
                <w:bCs/>
                <w:color w:val="000000"/>
                <w:sz w:val="18"/>
                <w:szCs w:val="18"/>
              </w:rPr>
              <w:t>SFm</w:t>
            </w:r>
          </w:p>
        </w:tc>
        <w:tc>
          <w:tcPr>
            <w:tcW w:w="819"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bottom"/>
          </w:tcPr>
          <w:p w14:paraId="0E0C3452" w14:textId="77777777" w:rsidR="00D343E2" w:rsidRPr="00E51366" w:rsidRDefault="00D343E2" w:rsidP="00740400">
            <w:pPr>
              <w:spacing w:before="0" w:after="0" w:line="240" w:lineRule="auto"/>
              <w:jc w:val="center"/>
              <w:rPr>
                <w:rFonts w:cs="Arial"/>
                <w:b/>
                <w:sz w:val="18"/>
                <w:szCs w:val="18"/>
              </w:rPr>
            </w:pPr>
            <w:r w:rsidRPr="00E51366">
              <w:rPr>
                <w:rFonts w:ascii="Calibri" w:hAnsi="Calibri" w:cs="Calibri"/>
                <w:b/>
                <w:bCs/>
                <w:color w:val="000000"/>
                <w:sz w:val="18"/>
                <w:szCs w:val="18"/>
              </w:rPr>
              <w:t>MFm</w:t>
            </w:r>
          </w:p>
        </w:tc>
        <w:tc>
          <w:tcPr>
            <w:tcW w:w="722"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bottom"/>
          </w:tcPr>
          <w:p w14:paraId="053FEADC" w14:textId="77777777" w:rsidR="00D343E2" w:rsidRPr="00E51366" w:rsidRDefault="00D343E2" w:rsidP="00740400">
            <w:pPr>
              <w:spacing w:before="0" w:after="0" w:line="240" w:lineRule="auto"/>
              <w:jc w:val="center"/>
              <w:rPr>
                <w:rFonts w:cs="Arial"/>
                <w:b/>
                <w:sz w:val="18"/>
                <w:szCs w:val="18"/>
              </w:rPr>
            </w:pPr>
            <w:r w:rsidRPr="00E51366">
              <w:rPr>
                <w:rFonts w:ascii="Calibri" w:hAnsi="Calibri" w:cs="Calibri"/>
                <w:b/>
                <w:bCs/>
                <w:color w:val="000000"/>
                <w:sz w:val="18"/>
                <w:szCs w:val="18"/>
              </w:rPr>
              <w:t>Dmo</w:t>
            </w:r>
          </w:p>
        </w:tc>
        <w:tc>
          <w:tcPr>
            <w:tcW w:w="767"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bottom"/>
          </w:tcPr>
          <w:p w14:paraId="0021AED3" w14:textId="77777777" w:rsidR="00D343E2" w:rsidRPr="00E51366" w:rsidRDefault="00D343E2" w:rsidP="00740400">
            <w:pPr>
              <w:spacing w:before="0" w:after="0" w:line="240" w:lineRule="auto"/>
              <w:jc w:val="center"/>
              <w:rPr>
                <w:rFonts w:cs="Arial"/>
                <w:b/>
                <w:sz w:val="18"/>
                <w:szCs w:val="18"/>
              </w:rPr>
            </w:pPr>
            <w:r>
              <w:rPr>
                <w:rFonts w:cs="Arial"/>
                <w:b/>
                <w:sz w:val="18"/>
                <w:szCs w:val="18"/>
              </w:rPr>
              <w:t>Total Range</w:t>
            </w:r>
          </w:p>
        </w:tc>
      </w:tr>
      <w:tr w:rsidR="00061786" w14:paraId="55013D28" w14:textId="77777777" w:rsidTr="00740400">
        <w:trPr>
          <w:trHeight w:val="273"/>
        </w:trPr>
        <w:tc>
          <w:tcPr>
            <w:tcW w:w="1826" w:type="pct"/>
            <w:tcBorders>
              <w:top w:val="single" w:sz="4" w:space="0" w:color="A6A6A6"/>
              <w:left w:val="single" w:sz="4" w:space="0" w:color="A6A6A6"/>
              <w:bottom w:val="single" w:sz="4" w:space="0" w:color="A6A6A6"/>
              <w:right w:val="single" w:sz="4" w:space="0" w:color="A6A6A6"/>
            </w:tcBorders>
          </w:tcPr>
          <w:p w14:paraId="599DDBE2" w14:textId="77777777" w:rsidR="00061786" w:rsidRPr="002110BA" w:rsidRDefault="00061786" w:rsidP="00061786">
            <w:pPr>
              <w:spacing w:before="0" w:after="0" w:line="240" w:lineRule="auto"/>
              <w:jc w:val="center"/>
              <w:rPr>
                <w:sz w:val="18"/>
                <w:szCs w:val="18"/>
              </w:rPr>
            </w:pPr>
            <w:r w:rsidRPr="002110BA">
              <w:rPr>
                <w:sz w:val="18"/>
                <w:szCs w:val="18"/>
              </w:rPr>
              <w:t>Building Cooling Capacity Range (tons)</w:t>
            </w:r>
          </w:p>
        </w:tc>
        <w:tc>
          <w:tcPr>
            <w:tcW w:w="866" w:type="pct"/>
            <w:tcBorders>
              <w:top w:val="single" w:sz="4" w:space="0" w:color="A6A6A6"/>
              <w:left w:val="single" w:sz="4" w:space="0" w:color="A6A6A6"/>
              <w:bottom w:val="single" w:sz="4" w:space="0" w:color="A6A6A6"/>
              <w:right w:val="single" w:sz="4" w:space="0" w:color="A6A6A6"/>
            </w:tcBorders>
          </w:tcPr>
          <w:p w14:paraId="180950D5" w14:textId="239FD094" w:rsidR="00061786" w:rsidRPr="002110BA" w:rsidRDefault="00061786" w:rsidP="00061786">
            <w:pPr>
              <w:spacing w:before="0" w:after="0" w:line="240" w:lineRule="auto"/>
              <w:jc w:val="center"/>
              <w:rPr>
                <w:sz w:val="18"/>
                <w:szCs w:val="18"/>
              </w:rPr>
            </w:pPr>
            <w:r w:rsidRPr="002110BA">
              <w:rPr>
                <w:sz w:val="18"/>
                <w:szCs w:val="18"/>
              </w:rPr>
              <w:t>2.2-4.0</w:t>
            </w:r>
          </w:p>
        </w:tc>
        <w:tc>
          <w:tcPr>
            <w:tcW w:w="819" w:type="pct"/>
            <w:tcBorders>
              <w:top w:val="single" w:sz="4" w:space="0" w:color="A6A6A6"/>
              <w:left w:val="single" w:sz="4" w:space="0" w:color="A6A6A6"/>
              <w:bottom w:val="single" w:sz="4" w:space="0" w:color="A6A6A6"/>
              <w:right w:val="single" w:sz="4" w:space="0" w:color="A6A6A6"/>
            </w:tcBorders>
          </w:tcPr>
          <w:p w14:paraId="386ECC27" w14:textId="45119655" w:rsidR="00061786" w:rsidRPr="002110BA" w:rsidRDefault="00061786" w:rsidP="00061786">
            <w:pPr>
              <w:spacing w:before="0" w:after="0" w:line="240" w:lineRule="auto"/>
              <w:jc w:val="center"/>
              <w:rPr>
                <w:sz w:val="18"/>
                <w:szCs w:val="18"/>
              </w:rPr>
            </w:pPr>
            <w:r w:rsidRPr="002110BA">
              <w:rPr>
                <w:sz w:val="18"/>
                <w:szCs w:val="18"/>
              </w:rPr>
              <w:t>1</w:t>
            </w:r>
            <w:r w:rsidR="002A0671">
              <w:rPr>
                <w:sz w:val="18"/>
                <w:szCs w:val="18"/>
              </w:rPr>
              <w:t>.0</w:t>
            </w:r>
            <w:r w:rsidRPr="002110BA">
              <w:rPr>
                <w:sz w:val="18"/>
                <w:szCs w:val="18"/>
              </w:rPr>
              <w:t>-1.</w:t>
            </w:r>
            <w:r>
              <w:rPr>
                <w:sz w:val="18"/>
                <w:szCs w:val="18"/>
              </w:rPr>
              <w:t>3</w:t>
            </w:r>
          </w:p>
        </w:tc>
        <w:tc>
          <w:tcPr>
            <w:tcW w:w="722" w:type="pct"/>
            <w:tcBorders>
              <w:top w:val="single" w:sz="4" w:space="0" w:color="A6A6A6"/>
              <w:left w:val="single" w:sz="4" w:space="0" w:color="A6A6A6"/>
              <w:bottom w:val="single" w:sz="4" w:space="0" w:color="A6A6A6"/>
              <w:right w:val="single" w:sz="4" w:space="0" w:color="A6A6A6"/>
            </w:tcBorders>
          </w:tcPr>
          <w:p w14:paraId="0D9AC6AB" w14:textId="4EC1092E" w:rsidR="00061786" w:rsidRPr="002110BA" w:rsidRDefault="00061786" w:rsidP="00061786">
            <w:pPr>
              <w:spacing w:before="0" w:after="0" w:line="240" w:lineRule="auto"/>
              <w:jc w:val="center"/>
              <w:rPr>
                <w:sz w:val="18"/>
                <w:szCs w:val="18"/>
              </w:rPr>
            </w:pPr>
            <w:r>
              <w:rPr>
                <w:sz w:val="18"/>
                <w:szCs w:val="18"/>
              </w:rPr>
              <w:t>3.5</w:t>
            </w:r>
          </w:p>
        </w:tc>
        <w:tc>
          <w:tcPr>
            <w:tcW w:w="767" w:type="pct"/>
            <w:tcBorders>
              <w:top w:val="single" w:sz="4" w:space="0" w:color="A6A6A6"/>
              <w:left w:val="single" w:sz="4" w:space="0" w:color="A6A6A6"/>
              <w:bottom w:val="single" w:sz="4" w:space="0" w:color="A6A6A6"/>
              <w:right w:val="single" w:sz="4" w:space="0" w:color="A6A6A6"/>
            </w:tcBorders>
          </w:tcPr>
          <w:p w14:paraId="05C44114" w14:textId="5E89FC6E" w:rsidR="00061786" w:rsidRPr="002110BA" w:rsidRDefault="00061786" w:rsidP="00061786">
            <w:pPr>
              <w:spacing w:before="0" w:after="0" w:line="240" w:lineRule="auto"/>
              <w:jc w:val="center"/>
              <w:rPr>
                <w:sz w:val="18"/>
                <w:szCs w:val="18"/>
              </w:rPr>
            </w:pPr>
            <w:r w:rsidRPr="002110BA">
              <w:rPr>
                <w:sz w:val="18"/>
                <w:szCs w:val="18"/>
              </w:rPr>
              <w:t>1</w:t>
            </w:r>
            <w:r w:rsidR="002A0671">
              <w:rPr>
                <w:sz w:val="18"/>
                <w:szCs w:val="18"/>
              </w:rPr>
              <w:t>.0</w:t>
            </w:r>
            <w:r w:rsidRPr="002110BA">
              <w:rPr>
                <w:sz w:val="18"/>
                <w:szCs w:val="18"/>
              </w:rPr>
              <w:t>-4.0</w:t>
            </w:r>
          </w:p>
        </w:tc>
      </w:tr>
      <w:tr w:rsidR="00061786" w14:paraId="235CEB5E" w14:textId="77777777" w:rsidTr="00740400">
        <w:trPr>
          <w:trHeight w:val="280"/>
        </w:trPr>
        <w:tc>
          <w:tcPr>
            <w:tcW w:w="1826" w:type="pct"/>
            <w:tcBorders>
              <w:top w:val="single" w:sz="4" w:space="0" w:color="A6A6A6"/>
              <w:left w:val="single" w:sz="4" w:space="0" w:color="A6A6A6"/>
              <w:bottom w:val="single" w:sz="4" w:space="0" w:color="A6A6A6"/>
              <w:right w:val="single" w:sz="4" w:space="0" w:color="A6A6A6"/>
            </w:tcBorders>
          </w:tcPr>
          <w:p w14:paraId="2B941DC5" w14:textId="77777777" w:rsidR="00061786" w:rsidRPr="002110BA" w:rsidRDefault="00061786" w:rsidP="00061786">
            <w:pPr>
              <w:spacing w:before="0" w:after="0" w:line="240" w:lineRule="auto"/>
              <w:jc w:val="center"/>
              <w:rPr>
                <w:sz w:val="18"/>
                <w:szCs w:val="18"/>
              </w:rPr>
            </w:pPr>
            <w:r w:rsidRPr="002110BA">
              <w:rPr>
                <w:sz w:val="18"/>
                <w:szCs w:val="18"/>
              </w:rPr>
              <w:t>Building Heating Capacity Range (kBTUh)</w:t>
            </w:r>
          </w:p>
        </w:tc>
        <w:tc>
          <w:tcPr>
            <w:tcW w:w="866" w:type="pct"/>
            <w:tcBorders>
              <w:top w:val="single" w:sz="4" w:space="0" w:color="A6A6A6"/>
              <w:left w:val="single" w:sz="4" w:space="0" w:color="A6A6A6"/>
              <w:bottom w:val="single" w:sz="4" w:space="0" w:color="A6A6A6"/>
              <w:right w:val="single" w:sz="4" w:space="0" w:color="A6A6A6"/>
            </w:tcBorders>
          </w:tcPr>
          <w:p w14:paraId="6C46DA2B" w14:textId="6EA5F62E" w:rsidR="00061786" w:rsidRPr="002110BA" w:rsidRDefault="00061786" w:rsidP="00061786">
            <w:pPr>
              <w:spacing w:before="0" w:after="0" w:line="240" w:lineRule="auto"/>
              <w:jc w:val="center"/>
              <w:rPr>
                <w:sz w:val="18"/>
                <w:szCs w:val="18"/>
              </w:rPr>
            </w:pPr>
            <w:r w:rsidRPr="002110BA">
              <w:rPr>
                <w:sz w:val="18"/>
                <w:szCs w:val="18"/>
              </w:rPr>
              <w:t>41.3-75.</w:t>
            </w:r>
            <w:r>
              <w:rPr>
                <w:sz w:val="18"/>
                <w:szCs w:val="18"/>
              </w:rPr>
              <w:t>1</w:t>
            </w:r>
          </w:p>
        </w:tc>
        <w:tc>
          <w:tcPr>
            <w:tcW w:w="819" w:type="pct"/>
            <w:tcBorders>
              <w:top w:val="single" w:sz="4" w:space="0" w:color="A6A6A6"/>
              <w:left w:val="single" w:sz="4" w:space="0" w:color="A6A6A6"/>
              <w:bottom w:val="single" w:sz="4" w:space="0" w:color="A6A6A6"/>
              <w:right w:val="single" w:sz="4" w:space="0" w:color="A6A6A6"/>
            </w:tcBorders>
          </w:tcPr>
          <w:p w14:paraId="752C8806" w14:textId="6FE223F7" w:rsidR="00061786" w:rsidRPr="002110BA" w:rsidRDefault="00061786" w:rsidP="00061786">
            <w:pPr>
              <w:spacing w:before="0" w:after="0" w:line="240" w:lineRule="auto"/>
              <w:jc w:val="center"/>
              <w:rPr>
                <w:sz w:val="18"/>
                <w:szCs w:val="18"/>
              </w:rPr>
            </w:pPr>
            <w:r w:rsidRPr="002110BA">
              <w:rPr>
                <w:sz w:val="18"/>
                <w:szCs w:val="18"/>
              </w:rPr>
              <w:t>14.</w:t>
            </w:r>
            <w:r>
              <w:rPr>
                <w:sz w:val="18"/>
                <w:szCs w:val="18"/>
              </w:rPr>
              <w:t>9</w:t>
            </w:r>
            <w:r w:rsidRPr="002110BA">
              <w:rPr>
                <w:sz w:val="18"/>
                <w:szCs w:val="18"/>
              </w:rPr>
              <w:t>-23.9</w:t>
            </w:r>
          </w:p>
        </w:tc>
        <w:tc>
          <w:tcPr>
            <w:tcW w:w="722" w:type="pct"/>
            <w:tcBorders>
              <w:top w:val="single" w:sz="4" w:space="0" w:color="A6A6A6"/>
              <w:left w:val="single" w:sz="4" w:space="0" w:color="A6A6A6"/>
              <w:bottom w:val="single" w:sz="4" w:space="0" w:color="A6A6A6"/>
              <w:right w:val="single" w:sz="4" w:space="0" w:color="A6A6A6"/>
            </w:tcBorders>
          </w:tcPr>
          <w:p w14:paraId="486B374E" w14:textId="518AB23E" w:rsidR="00061786" w:rsidRPr="002110BA" w:rsidRDefault="00061786" w:rsidP="00061786">
            <w:pPr>
              <w:spacing w:before="0" w:after="0" w:line="240" w:lineRule="auto"/>
              <w:jc w:val="center"/>
              <w:rPr>
                <w:sz w:val="18"/>
                <w:szCs w:val="18"/>
              </w:rPr>
            </w:pPr>
            <w:r w:rsidRPr="002110BA">
              <w:rPr>
                <w:sz w:val="18"/>
                <w:szCs w:val="18"/>
              </w:rPr>
              <w:t>55</w:t>
            </w:r>
            <w:r w:rsidR="002A0671">
              <w:rPr>
                <w:sz w:val="18"/>
                <w:szCs w:val="18"/>
              </w:rPr>
              <w:t>.0</w:t>
            </w:r>
          </w:p>
        </w:tc>
        <w:tc>
          <w:tcPr>
            <w:tcW w:w="767" w:type="pct"/>
            <w:tcBorders>
              <w:top w:val="single" w:sz="4" w:space="0" w:color="A6A6A6"/>
              <w:left w:val="single" w:sz="4" w:space="0" w:color="A6A6A6"/>
              <w:bottom w:val="single" w:sz="4" w:space="0" w:color="A6A6A6"/>
              <w:right w:val="single" w:sz="4" w:space="0" w:color="A6A6A6"/>
            </w:tcBorders>
          </w:tcPr>
          <w:p w14:paraId="54357F2E" w14:textId="50E4C392" w:rsidR="00061786" w:rsidRPr="002110BA" w:rsidRDefault="00061786" w:rsidP="00061786">
            <w:pPr>
              <w:spacing w:before="0" w:after="0" w:line="240" w:lineRule="auto"/>
              <w:jc w:val="center"/>
              <w:rPr>
                <w:sz w:val="18"/>
                <w:szCs w:val="18"/>
              </w:rPr>
            </w:pPr>
            <w:r w:rsidRPr="002110BA">
              <w:rPr>
                <w:sz w:val="18"/>
                <w:szCs w:val="18"/>
              </w:rPr>
              <w:t>14.</w:t>
            </w:r>
            <w:r>
              <w:rPr>
                <w:sz w:val="18"/>
                <w:szCs w:val="18"/>
              </w:rPr>
              <w:t>9</w:t>
            </w:r>
            <w:r w:rsidRPr="002110BA">
              <w:rPr>
                <w:sz w:val="18"/>
                <w:szCs w:val="18"/>
              </w:rPr>
              <w:t>-75.</w:t>
            </w:r>
            <w:r>
              <w:rPr>
                <w:sz w:val="18"/>
                <w:szCs w:val="18"/>
              </w:rPr>
              <w:t>1</w:t>
            </w:r>
          </w:p>
        </w:tc>
      </w:tr>
      <w:tr w:rsidR="00E64290" w14:paraId="1D06F354" w14:textId="77777777" w:rsidTr="00740400">
        <w:trPr>
          <w:trHeight w:val="286"/>
        </w:trPr>
        <w:tc>
          <w:tcPr>
            <w:tcW w:w="1826" w:type="pct"/>
            <w:tcBorders>
              <w:top w:val="single" w:sz="4" w:space="0" w:color="A6A6A6"/>
              <w:left w:val="single" w:sz="4" w:space="0" w:color="A6A6A6"/>
              <w:bottom w:val="single" w:sz="4" w:space="0" w:color="A6A6A6"/>
              <w:right w:val="single" w:sz="4" w:space="0" w:color="A6A6A6"/>
            </w:tcBorders>
          </w:tcPr>
          <w:p w14:paraId="3EBE3EF4" w14:textId="4B9D6E52" w:rsidR="00E64290" w:rsidRPr="002110BA" w:rsidRDefault="00E64290" w:rsidP="00E64290">
            <w:pPr>
              <w:spacing w:before="0" w:after="0" w:line="240" w:lineRule="auto"/>
              <w:jc w:val="center"/>
              <w:rPr>
                <w:b/>
                <w:bCs/>
                <w:sz w:val="18"/>
                <w:szCs w:val="18"/>
              </w:rPr>
            </w:pPr>
            <w:r w:rsidRPr="002110BA">
              <w:rPr>
                <w:b/>
                <w:bCs/>
                <w:sz w:val="18"/>
                <w:szCs w:val="18"/>
              </w:rPr>
              <w:t xml:space="preserve">Assumed </w:t>
            </w:r>
            <w:r>
              <w:rPr>
                <w:b/>
                <w:bCs/>
                <w:sz w:val="18"/>
                <w:szCs w:val="18"/>
              </w:rPr>
              <w:t xml:space="preserve">No. of Cooling </w:t>
            </w:r>
            <w:r w:rsidRPr="002110BA">
              <w:rPr>
                <w:b/>
                <w:bCs/>
                <w:sz w:val="18"/>
                <w:szCs w:val="18"/>
              </w:rPr>
              <w:t>Units</w:t>
            </w:r>
            <w:r>
              <w:rPr>
                <w:b/>
                <w:bCs/>
                <w:sz w:val="18"/>
                <w:szCs w:val="18"/>
              </w:rPr>
              <w:t xml:space="preserve"> per Building</w:t>
            </w:r>
          </w:p>
        </w:tc>
        <w:tc>
          <w:tcPr>
            <w:tcW w:w="866" w:type="pct"/>
            <w:tcBorders>
              <w:top w:val="single" w:sz="4" w:space="0" w:color="A6A6A6"/>
              <w:left w:val="single" w:sz="4" w:space="0" w:color="A6A6A6"/>
              <w:bottom w:val="single" w:sz="4" w:space="0" w:color="A6A6A6"/>
              <w:right w:val="single" w:sz="4" w:space="0" w:color="A6A6A6"/>
            </w:tcBorders>
          </w:tcPr>
          <w:p w14:paraId="2381ED43" w14:textId="732FAA14" w:rsidR="00E64290" w:rsidRPr="002110BA" w:rsidRDefault="00E64290" w:rsidP="00E64290">
            <w:pPr>
              <w:spacing w:before="0" w:after="0" w:line="240" w:lineRule="auto"/>
              <w:jc w:val="center"/>
              <w:rPr>
                <w:b/>
                <w:bCs/>
                <w:sz w:val="18"/>
                <w:szCs w:val="18"/>
              </w:rPr>
            </w:pPr>
            <w:r w:rsidRPr="002110BA">
              <w:rPr>
                <w:b/>
                <w:bCs/>
                <w:sz w:val="18"/>
                <w:szCs w:val="18"/>
              </w:rPr>
              <w:t>2</w:t>
            </w:r>
          </w:p>
        </w:tc>
        <w:tc>
          <w:tcPr>
            <w:tcW w:w="819" w:type="pct"/>
            <w:tcBorders>
              <w:top w:val="single" w:sz="4" w:space="0" w:color="A6A6A6"/>
              <w:left w:val="single" w:sz="4" w:space="0" w:color="A6A6A6"/>
              <w:bottom w:val="single" w:sz="4" w:space="0" w:color="A6A6A6"/>
              <w:right w:val="single" w:sz="4" w:space="0" w:color="A6A6A6"/>
            </w:tcBorders>
          </w:tcPr>
          <w:p w14:paraId="4A77D5EB" w14:textId="069CACA4" w:rsidR="00E64290" w:rsidRPr="002110BA" w:rsidRDefault="00E64290" w:rsidP="00E64290">
            <w:pPr>
              <w:spacing w:before="0" w:after="0" w:line="240" w:lineRule="auto"/>
              <w:jc w:val="center"/>
              <w:rPr>
                <w:b/>
                <w:bCs/>
                <w:sz w:val="18"/>
                <w:szCs w:val="18"/>
              </w:rPr>
            </w:pPr>
            <w:r w:rsidRPr="002110BA">
              <w:rPr>
                <w:b/>
                <w:bCs/>
                <w:sz w:val="18"/>
                <w:szCs w:val="18"/>
              </w:rPr>
              <w:t>1</w:t>
            </w:r>
          </w:p>
        </w:tc>
        <w:tc>
          <w:tcPr>
            <w:tcW w:w="722" w:type="pct"/>
            <w:tcBorders>
              <w:top w:val="single" w:sz="4" w:space="0" w:color="A6A6A6"/>
              <w:left w:val="single" w:sz="4" w:space="0" w:color="A6A6A6"/>
              <w:bottom w:val="single" w:sz="4" w:space="0" w:color="A6A6A6"/>
              <w:right w:val="single" w:sz="4" w:space="0" w:color="A6A6A6"/>
            </w:tcBorders>
          </w:tcPr>
          <w:p w14:paraId="72566326" w14:textId="4397CE4B" w:rsidR="00E64290" w:rsidRPr="002110BA" w:rsidRDefault="00E64290" w:rsidP="00E64290">
            <w:pPr>
              <w:spacing w:before="0" w:after="0" w:line="240" w:lineRule="auto"/>
              <w:jc w:val="center"/>
              <w:rPr>
                <w:b/>
                <w:bCs/>
                <w:sz w:val="18"/>
                <w:szCs w:val="18"/>
              </w:rPr>
            </w:pPr>
            <w:r w:rsidRPr="002110BA">
              <w:rPr>
                <w:b/>
                <w:bCs/>
                <w:sz w:val="18"/>
                <w:szCs w:val="18"/>
              </w:rPr>
              <w:t>2</w:t>
            </w:r>
          </w:p>
        </w:tc>
        <w:tc>
          <w:tcPr>
            <w:tcW w:w="767" w:type="pct"/>
            <w:tcBorders>
              <w:top w:val="single" w:sz="4" w:space="0" w:color="A6A6A6"/>
              <w:left w:val="single" w:sz="4" w:space="0" w:color="A6A6A6"/>
              <w:bottom w:val="single" w:sz="4" w:space="0" w:color="A6A6A6"/>
              <w:right w:val="single" w:sz="4" w:space="0" w:color="A6A6A6"/>
            </w:tcBorders>
          </w:tcPr>
          <w:p w14:paraId="77268D48" w14:textId="77777777" w:rsidR="00E64290" w:rsidRPr="002110BA" w:rsidRDefault="00E64290" w:rsidP="00E64290">
            <w:pPr>
              <w:spacing w:before="0" w:after="0" w:line="240" w:lineRule="auto"/>
              <w:jc w:val="center"/>
              <w:rPr>
                <w:sz w:val="18"/>
                <w:szCs w:val="18"/>
              </w:rPr>
            </w:pPr>
          </w:p>
        </w:tc>
      </w:tr>
      <w:tr w:rsidR="00E64290" w14:paraId="33A4B9F7" w14:textId="77777777" w:rsidTr="00740400">
        <w:trPr>
          <w:trHeight w:val="286"/>
        </w:trPr>
        <w:tc>
          <w:tcPr>
            <w:tcW w:w="1826" w:type="pct"/>
            <w:tcBorders>
              <w:top w:val="single" w:sz="4" w:space="0" w:color="A6A6A6"/>
              <w:left w:val="single" w:sz="4" w:space="0" w:color="A6A6A6"/>
              <w:bottom w:val="single" w:sz="4" w:space="0" w:color="A6A6A6"/>
              <w:right w:val="single" w:sz="4" w:space="0" w:color="A6A6A6"/>
            </w:tcBorders>
          </w:tcPr>
          <w:p w14:paraId="663710BE" w14:textId="7422D4F8" w:rsidR="00E64290" w:rsidRPr="002110BA" w:rsidRDefault="00E64290" w:rsidP="00E64290">
            <w:pPr>
              <w:spacing w:before="0" w:after="0" w:line="240" w:lineRule="auto"/>
              <w:jc w:val="center"/>
              <w:rPr>
                <w:b/>
                <w:bCs/>
                <w:sz w:val="18"/>
                <w:szCs w:val="18"/>
              </w:rPr>
            </w:pPr>
            <w:r w:rsidRPr="002110BA">
              <w:rPr>
                <w:b/>
                <w:bCs/>
                <w:sz w:val="18"/>
                <w:szCs w:val="18"/>
              </w:rPr>
              <w:t xml:space="preserve">Assumed </w:t>
            </w:r>
            <w:r>
              <w:rPr>
                <w:b/>
                <w:bCs/>
                <w:sz w:val="18"/>
                <w:szCs w:val="18"/>
              </w:rPr>
              <w:t xml:space="preserve">No. of Heating </w:t>
            </w:r>
            <w:r w:rsidRPr="002110BA">
              <w:rPr>
                <w:b/>
                <w:bCs/>
                <w:sz w:val="18"/>
                <w:szCs w:val="18"/>
              </w:rPr>
              <w:t>Units</w:t>
            </w:r>
            <w:r>
              <w:rPr>
                <w:b/>
                <w:bCs/>
                <w:sz w:val="18"/>
                <w:szCs w:val="18"/>
              </w:rPr>
              <w:t xml:space="preserve"> per Building</w:t>
            </w:r>
          </w:p>
        </w:tc>
        <w:tc>
          <w:tcPr>
            <w:tcW w:w="866" w:type="pct"/>
            <w:tcBorders>
              <w:top w:val="single" w:sz="4" w:space="0" w:color="A6A6A6"/>
              <w:left w:val="single" w:sz="4" w:space="0" w:color="A6A6A6"/>
              <w:bottom w:val="single" w:sz="4" w:space="0" w:color="A6A6A6"/>
              <w:right w:val="single" w:sz="4" w:space="0" w:color="A6A6A6"/>
            </w:tcBorders>
          </w:tcPr>
          <w:p w14:paraId="698A33B8" w14:textId="204A9883" w:rsidR="00E64290" w:rsidRPr="002110BA" w:rsidRDefault="00E64290" w:rsidP="00E64290">
            <w:pPr>
              <w:spacing w:before="0" w:after="0" w:line="240" w:lineRule="auto"/>
              <w:jc w:val="center"/>
              <w:rPr>
                <w:b/>
                <w:bCs/>
                <w:sz w:val="18"/>
                <w:szCs w:val="18"/>
              </w:rPr>
            </w:pPr>
            <w:r w:rsidRPr="002110BA">
              <w:rPr>
                <w:b/>
                <w:bCs/>
                <w:sz w:val="18"/>
                <w:szCs w:val="18"/>
              </w:rPr>
              <w:t>2</w:t>
            </w:r>
          </w:p>
        </w:tc>
        <w:tc>
          <w:tcPr>
            <w:tcW w:w="819" w:type="pct"/>
            <w:tcBorders>
              <w:top w:val="single" w:sz="4" w:space="0" w:color="A6A6A6"/>
              <w:left w:val="single" w:sz="4" w:space="0" w:color="A6A6A6"/>
              <w:bottom w:val="single" w:sz="4" w:space="0" w:color="A6A6A6"/>
              <w:right w:val="single" w:sz="4" w:space="0" w:color="A6A6A6"/>
            </w:tcBorders>
          </w:tcPr>
          <w:p w14:paraId="75EF0CDB" w14:textId="68C98E30" w:rsidR="00E64290" w:rsidRPr="002110BA" w:rsidRDefault="00E64290" w:rsidP="00E64290">
            <w:pPr>
              <w:spacing w:before="0" w:after="0" w:line="240" w:lineRule="auto"/>
              <w:jc w:val="center"/>
              <w:rPr>
                <w:b/>
                <w:bCs/>
                <w:sz w:val="18"/>
                <w:szCs w:val="18"/>
              </w:rPr>
            </w:pPr>
            <w:r w:rsidRPr="002110BA">
              <w:rPr>
                <w:b/>
                <w:bCs/>
                <w:sz w:val="18"/>
                <w:szCs w:val="18"/>
              </w:rPr>
              <w:t>1</w:t>
            </w:r>
          </w:p>
        </w:tc>
        <w:tc>
          <w:tcPr>
            <w:tcW w:w="722" w:type="pct"/>
            <w:tcBorders>
              <w:top w:val="single" w:sz="4" w:space="0" w:color="A6A6A6"/>
              <w:left w:val="single" w:sz="4" w:space="0" w:color="A6A6A6"/>
              <w:bottom w:val="single" w:sz="4" w:space="0" w:color="A6A6A6"/>
              <w:right w:val="single" w:sz="4" w:space="0" w:color="A6A6A6"/>
            </w:tcBorders>
          </w:tcPr>
          <w:p w14:paraId="6ECD26CA" w14:textId="1760B4E9" w:rsidR="00E64290" w:rsidRPr="002110BA" w:rsidRDefault="00E64290" w:rsidP="00E64290">
            <w:pPr>
              <w:spacing w:before="0" w:after="0" w:line="240" w:lineRule="auto"/>
              <w:jc w:val="center"/>
              <w:rPr>
                <w:b/>
                <w:bCs/>
                <w:sz w:val="18"/>
                <w:szCs w:val="18"/>
              </w:rPr>
            </w:pPr>
            <w:r w:rsidRPr="002110BA">
              <w:rPr>
                <w:b/>
                <w:bCs/>
                <w:sz w:val="18"/>
                <w:szCs w:val="18"/>
              </w:rPr>
              <w:t>2</w:t>
            </w:r>
          </w:p>
        </w:tc>
        <w:tc>
          <w:tcPr>
            <w:tcW w:w="767" w:type="pct"/>
            <w:tcBorders>
              <w:top w:val="single" w:sz="4" w:space="0" w:color="A6A6A6"/>
              <w:left w:val="single" w:sz="4" w:space="0" w:color="A6A6A6"/>
              <w:bottom w:val="single" w:sz="4" w:space="0" w:color="A6A6A6"/>
              <w:right w:val="single" w:sz="4" w:space="0" w:color="A6A6A6"/>
            </w:tcBorders>
          </w:tcPr>
          <w:p w14:paraId="4F560FB0" w14:textId="77777777" w:rsidR="00E64290" w:rsidRPr="002110BA" w:rsidRDefault="00E64290" w:rsidP="00E64290">
            <w:pPr>
              <w:spacing w:before="0" w:after="0" w:line="240" w:lineRule="auto"/>
              <w:jc w:val="center"/>
              <w:rPr>
                <w:sz w:val="18"/>
                <w:szCs w:val="18"/>
              </w:rPr>
            </w:pPr>
          </w:p>
        </w:tc>
      </w:tr>
      <w:tr w:rsidR="00061786" w14:paraId="165D27FA" w14:textId="77777777" w:rsidTr="00740400">
        <w:trPr>
          <w:trHeight w:val="286"/>
        </w:trPr>
        <w:tc>
          <w:tcPr>
            <w:tcW w:w="1826" w:type="pct"/>
            <w:tcBorders>
              <w:top w:val="single" w:sz="4" w:space="0" w:color="A6A6A6"/>
              <w:left w:val="single" w:sz="4" w:space="0" w:color="A6A6A6"/>
              <w:bottom w:val="single" w:sz="4" w:space="0" w:color="A6A6A6"/>
              <w:right w:val="single" w:sz="4" w:space="0" w:color="A6A6A6"/>
            </w:tcBorders>
          </w:tcPr>
          <w:p w14:paraId="2EB18DD9" w14:textId="77777777" w:rsidR="00061786" w:rsidRPr="002110BA" w:rsidRDefault="00061786" w:rsidP="00061786">
            <w:pPr>
              <w:spacing w:before="0" w:after="0" w:line="240" w:lineRule="auto"/>
              <w:jc w:val="center"/>
              <w:rPr>
                <w:sz w:val="18"/>
                <w:szCs w:val="18"/>
              </w:rPr>
            </w:pPr>
            <w:r w:rsidRPr="002110BA">
              <w:rPr>
                <w:sz w:val="18"/>
                <w:szCs w:val="18"/>
              </w:rPr>
              <w:t>Cooling Capacity per Unit Range (tons)</w:t>
            </w:r>
          </w:p>
        </w:tc>
        <w:tc>
          <w:tcPr>
            <w:tcW w:w="866" w:type="pct"/>
            <w:tcBorders>
              <w:top w:val="single" w:sz="4" w:space="0" w:color="A6A6A6"/>
              <w:left w:val="single" w:sz="4" w:space="0" w:color="A6A6A6"/>
              <w:bottom w:val="single" w:sz="4" w:space="0" w:color="A6A6A6"/>
              <w:right w:val="single" w:sz="4" w:space="0" w:color="A6A6A6"/>
            </w:tcBorders>
          </w:tcPr>
          <w:p w14:paraId="6C9B7760" w14:textId="31D1EE5C" w:rsidR="00061786" w:rsidRPr="002110BA" w:rsidRDefault="00061786" w:rsidP="00061786">
            <w:pPr>
              <w:spacing w:before="0" w:after="0" w:line="240" w:lineRule="auto"/>
              <w:jc w:val="center"/>
              <w:rPr>
                <w:sz w:val="18"/>
                <w:szCs w:val="18"/>
              </w:rPr>
            </w:pPr>
            <w:r w:rsidRPr="002110BA">
              <w:rPr>
                <w:sz w:val="18"/>
                <w:szCs w:val="18"/>
              </w:rPr>
              <w:t>1.1-2.0</w:t>
            </w:r>
          </w:p>
        </w:tc>
        <w:tc>
          <w:tcPr>
            <w:tcW w:w="819" w:type="pct"/>
            <w:tcBorders>
              <w:top w:val="single" w:sz="4" w:space="0" w:color="A6A6A6"/>
              <w:left w:val="single" w:sz="4" w:space="0" w:color="A6A6A6"/>
              <w:bottom w:val="single" w:sz="4" w:space="0" w:color="A6A6A6"/>
              <w:right w:val="single" w:sz="4" w:space="0" w:color="A6A6A6"/>
            </w:tcBorders>
          </w:tcPr>
          <w:p w14:paraId="233F8AE6" w14:textId="5DB21477" w:rsidR="00061786" w:rsidRPr="002110BA" w:rsidRDefault="00061786" w:rsidP="00061786">
            <w:pPr>
              <w:spacing w:before="0" w:after="0" w:line="240" w:lineRule="auto"/>
              <w:jc w:val="center"/>
              <w:rPr>
                <w:sz w:val="18"/>
                <w:szCs w:val="18"/>
              </w:rPr>
            </w:pPr>
            <w:r w:rsidRPr="002110BA">
              <w:rPr>
                <w:sz w:val="18"/>
                <w:szCs w:val="18"/>
              </w:rPr>
              <w:t>1</w:t>
            </w:r>
            <w:r w:rsidR="002A0671">
              <w:rPr>
                <w:sz w:val="18"/>
                <w:szCs w:val="18"/>
              </w:rPr>
              <w:t>.0</w:t>
            </w:r>
            <w:r w:rsidRPr="002110BA">
              <w:rPr>
                <w:sz w:val="18"/>
                <w:szCs w:val="18"/>
              </w:rPr>
              <w:t>-1.</w:t>
            </w:r>
            <w:r>
              <w:rPr>
                <w:sz w:val="18"/>
                <w:szCs w:val="18"/>
              </w:rPr>
              <w:t>3</w:t>
            </w:r>
          </w:p>
        </w:tc>
        <w:tc>
          <w:tcPr>
            <w:tcW w:w="722" w:type="pct"/>
            <w:tcBorders>
              <w:top w:val="single" w:sz="4" w:space="0" w:color="A6A6A6"/>
              <w:left w:val="single" w:sz="4" w:space="0" w:color="A6A6A6"/>
              <w:bottom w:val="single" w:sz="4" w:space="0" w:color="A6A6A6"/>
              <w:right w:val="single" w:sz="4" w:space="0" w:color="A6A6A6"/>
            </w:tcBorders>
          </w:tcPr>
          <w:p w14:paraId="57C0581E" w14:textId="79B36079" w:rsidR="00061786" w:rsidRPr="002110BA" w:rsidRDefault="00061786" w:rsidP="00061786">
            <w:pPr>
              <w:spacing w:before="0" w:after="0" w:line="240" w:lineRule="auto"/>
              <w:jc w:val="center"/>
              <w:rPr>
                <w:sz w:val="18"/>
                <w:szCs w:val="18"/>
              </w:rPr>
            </w:pPr>
            <w:r w:rsidRPr="002110BA">
              <w:rPr>
                <w:sz w:val="18"/>
                <w:szCs w:val="18"/>
              </w:rPr>
              <w:t>1.</w:t>
            </w:r>
            <w:r w:rsidR="002A0671">
              <w:rPr>
                <w:sz w:val="18"/>
                <w:szCs w:val="18"/>
              </w:rPr>
              <w:t>8</w:t>
            </w:r>
          </w:p>
        </w:tc>
        <w:tc>
          <w:tcPr>
            <w:tcW w:w="767" w:type="pct"/>
            <w:tcBorders>
              <w:top w:val="single" w:sz="4" w:space="0" w:color="A6A6A6"/>
              <w:left w:val="single" w:sz="4" w:space="0" w:color="A6A6A6"/>
              <w:bottom w:val="single" w:sz="4" w:space="0" w:color="A6A6A6"/>
              <w:right w:val="single" w:sz="4" w:space="0" w:color="A6A6A6"/>
            </w:tcBorders>
          </w:tcPr>
          <w:p w14:paraId="09016A71" w14:textId="718904EE" w:rsidR="00061786" w:rsidRPr="002110BA" w:rsidRDefault="00061786" w:rsidP="00061786">
            <w:pPr>
              <w:spacing w:before="0" w:after="0" w:line="240" w:lineRule="auto"/>
              <w:jc w:val="center"/>
              <w:rPr>
                <w:sz w:val="18"/>
                <w:szCs w:val="18"/>
              </w:rPr>
            </w:pPr>
            <w:r w:rsidRPr="002110BA">
              <w:rPr>
                <w:sz w:val="18"/>
                <w:szCs w:val="18"/>
              </w:rPr>
              <w:t>1</w:t>
            </w:r>
            <w:r>
              <w:rPr>
                <w:sz w:val="18"/>
                <w:szCs w:val="18"/>
              </w:rPr>
              <w:t>.0</w:t>
            </w:r>
            <w:r w:rsidRPr="002110BA">
              <w:rPr>
                <w:sz w:val="18"/>
                <w:szCs w:val="18"/>
              </w:rPr>
              <w:t>-2.0</w:t>
            </w:r>
          </w:p>
        </w:tc>
      </w:tr>
      <w:tr w:rsidR="00061786" w14:paraId="3476D089" w14:textId="77777777" w:rsidTr="00740400">
        <w:trPr>
          <w:trHeight w:val="280"/>
        </w:trPr>
        <w:tc>
          <w:tcPr>
            <w:tcW w:w="1826" w:type="pct"/>
            <w:tcBorders>
              <w:top w:val="single" w:sz="4" w:space="0" w:color="A6A6A6"/>
              <w:left w:val="single" w:sz="4" w:space="0" w:color="A6A6A6"/>
              <w:bottom w:val="single" w:sz="4" w:space="0" w:color="A6A6A6"/>
              <w:right w:val="single" w:sz="4" w:space="0" w:color="A6A6A6"/>
            </w:tcBorders>
          </w:tcPr>
          <w:p w14:paraId="0ED35AC5" w14:textId="77777777" w:rsidR="00061786" w:rsidRPr="002110BA" w:rsidRDefault="00061786" w:rsidP="00061786">
            <w:pPr>
              <w:spacing w:before="0" w:after="0" w:line="240" w:lineRule="auto"/>
              <w:jc w:val="center"/>
              <w:rPr>
                <w:sz w:val="18"/>
                <w:szCs w:val="18"/>
              </w:rPr>
            </w:pPr>
            <w:r w:rsidRPr="002110BA">
              <w:rPr>
                <w:sz w:val="18"/>
                <w:szCs w:val="18"/>
              </w:rPr>
              <w:t>Heating Capacity per Unit Range (kBTUh)</w:t>
            </w:r>
          </w:p>
        </w:tc>
        <w:tc>
          <w:tcPr>
            <w:tcW w:w="866" w:type="pct"/>
            <w:tcBorders>
              <w:top w:val="single" w:sz="4" w:space="0" w:color="A6A6A6"/>
              <w:left w:val="single" w:sz="4" w:space="0" w:color="A6A6A6"/>
              <w:bottom w:val="single" w:sz="4" w:space="0" w:color="A6A6A6"/>
              <w:right w:val="single" w:sz="4" w:space="0" w:color="A6A6A6"/>
            </w:tcBorders>
          </w:tcPr>
          <w:p w14:paraId="5D4DECD7" w14:textId="308F0BC8" w:rsidR="00061786" w:rsidRPr="002110BA" w:rsidRDefault="00061786" w:rsidP="00061786">
            <w:pPr>
              <w:spacing w:before="0" w:after="0" w:line="240" w:lineRule="auto"/>
              <w:jc w:val="center"/>
              <w:rPr>
                <w:sz w:val="18"/>
                <w:szCs w:val="18"/>
              </w:rPr>
            </w:pPr>
            <w:r w:rsidRPr="002110BA">
              <w:rPr>
                <w:sz w:val="18"/>
                <w:szCs w:val="18"/>
              </w:rPr>
              <w:t>20.</w:t>
            </w:r>
            <w:r>
              <w:rPr>
                <w:sz w:val="18"/>
                <w:szCs w:val="18"/>
              </w:rPr>
              <w:t>7</w:t>
            </w:r>
            <w:r w:rsidRPr="002110BA">
              <w:rPr>
                <w:sz w:val="18"/>
                <w:szCs w:val="18"/>
              </w:rPr>
              <w:t>-37.5</w:t>
            </w:r>
          </w:p>
        </w:tc>
        <w:tc>
          <w:tcPr>
            <w:tcW w:w="819" w:type="pct"/>
            <w:tcBorders>
              <w:top w:val="single" w:sz="4" w:space="0" w:color="A6A6A6"/>
              <w:left w:val="single" w:sz="4" w:space="0" w:color="A6A6A6"/>
              <w:bottom w:val="single" w:sz="4" w:space="0" w:color="A6A6A6"/>
              <w:right w:val="single" w:sz="4" w:space="0" w:color="A6A6A6"/>
            </w:tcBorders>
          </w:tcPr>
          <w:p w14:paraId="1183D391" w14:textId="7AC3D217" w:rsidR="00061786" w:rsidRPr="002110BA" w:rsidRDefault="00061786" w:rsidP="00061786">
            <w:pPr>
              <w:spacing w:before="0" w:after="0" w:line="240" w:lineRule="auto"/>
              <w:jc w:val="center"/>
              <w:rPr>
                <w:sz w:val="18"/>
                <w:szCs w:val="18"/>
              </w:rPr>
            </w:pPr>
            <w:r w:rsidRPr="002110BA">
              <w:rPr>
                <w:sz w:val="18"/>
                <w:szCs w:val="18"/>
              </w:rPr>
              <w:t>14.</w:t>
            </w:r>
            <w:r>
              <w:rPr>
                <w:sz w:val="18"/>
                <w:szCs w:val="18"/>
              </w:rPr>
              <w:t>9</w:t>
            </w:r>
            <w:r w:rsidRPr="002110BA">
              <w:rPr>
                <w:sz w:val="18"/>
                <w:szCs w:val="18"/>
              </w:rPr>
              <w:t>-23.9</w:t>
            </w:r>
          </w:p>
        </w:tc>
        <w:tc>
          <w:tcPr>
            <w:tcW w:w="722" w:type="pct"/>
            <w:tcBorders>
              <w:top w:val="single" w:sz="4" w:space="0" w:color="A6A6A6"/>
              <w:left w:val="single" w:sz="4" w:space="0" w:color="A6A6A6"/>
              <w:bottom w:val="single" w:sz="4" w:space="0" w:color="A6A6A6"/>
              <w:right w:val="single" w:sz="4" w:space="0" w:color="A6A6A6"/>
            </w:tcBorders>
          </w:tcPr>
          <w:p w14:paraId="095824E4" w14:textId="455FC5C6" w:rsidR="00061786" w:rsidRPr="002110BA" w:rsidRDefault="00061786" w:rsidP="00061786">
            <w:pPr>
              <w:spacing w:before="0" w:after="0" w:line="240" w:lineRule="auto"/>
              <w:jc w:val="center"/>
              <w:rPr>
                <w:sz w:val="18"/>
                <w:szCs w:val="18"/>
              </w:rPr>
            </w:pPr>
            <w:r w:rsidRPr="002110BA">
              <w:rPr>
                <w:sz w:val="18"/>
                <w:szCs w:val="18"/>
              </w:rPr>
              <w:t>27.5</w:t>
            </w:r>
          </w:p>
        </w:tc>
        <w:tc>
          <w:tcPr>
            <w:tcW w:w="767" w:type="pct"/>
            <w:tcBorders>
              <w:top w:val="single" w:sz="4" w:space="0" w:color="A6A6A6"/>
              <w:left w:val="single" w:sz="4" w:space="0" w:color="A6A6A6"/>
              <w:bottom w:val="single" w:sz="4" w:space="0" w:color="A6A6A6"/>
              <w:right w:val="single" w:sz="4" w:space="0" w:color="A6A6A6"/>
            </w:tcBorders>
          </w:tcPr>
          <w:p w14:paraId="158BEFAF" w14:textId="06331BDE" w:rsidR="00061786" w:rsidRPr="002110BA" w:rsidRDefault="00061786" w:rsidP="00061786">
            <w:pPr>
              <w:spacing w:before="0" w:after="0" w:line="240" w:lineRule="auto"/>
              <w:jc w:val="center"/>
              <w:rPr>
                <w:sz w:val="18"/>
                <w:szCs w:val="18"/>
              </w:rPr>
            </w:pPr>
            <w:r w:rsidRPr="002110BA">
              <w:rPr>
                <w:sz w:val="18"/>
                <w:szCs w:val="18"/>
              </w:rPr>
              <w:t>14.</w:t>
            </w:r>
            <w:r>
              <w:rPr>
                <w:sz w:val="18"/>
                <w:szCs w:val="18"/>
              </w:rPr>
              <w:t>9</w:t>
            </w:r>
            <w:r w:rsidRPr="002110BA">
              <w:rPr>
                <w:sz w:val="18"/>
                <w:szCs w:val="18"/>
              </w:rPr>
              <w:t>-37.5</w:t>
            </w:r>
          </w:p>
        </w:tc>
      </w:tr>
    </w:tbl>
    <w:p w14:paraId="07E13089" w14:textId="693B6BF1" w:rsidR="00D343E2" w:rsidRDefault="00D343E2" w:rsidP="00D343E2">
      <w:pPr>
        <w:pStyle w:val="Default"/>
        <w:jc w:val="both"/>
        <w:rPr>
          <w:b/>
          <w:szCs w:val="20"/>
        </w:rPr>
      </w:pPr>
    </w:p>
    <w:p w14:paraId="25DB998B" w14:textId="5B1EB81F" w:rsidR="00D343E2" w:rsidRDefault="00570C81" w:rsidP="00570C81">
      <w:pPr>
        <w:pStyle w:val="Default"/>
        <w:jc w:val="both"/>
        <w:rPr>
          <w:b/>
          <w:szCs w:val="20"/>
        </w:rPr>
      </w:pPr>
      <w:r w:rsidRPr="00FF39EC">
        <w:rPr>
          <w:sz w:val="22"/>
          <w:szCs w:val="22"/>
        </w:rPr>
        <w:t xml:space="preserve">Baseline energy efficiency requirements can be found in California </w:t>
      </w:r>
      <w:r>
        <w:rPr>
          <w:sz w:val="22"/>
          <w:szCs w:val="22"/>
        </w:rPr>
        <w:t xml:space="preserve">2019 </w:t>
      </w:r>
      <w:r w:rsidRPr="00FF39EC">
        <w:rPr>
          <w:sz w:val="22"/>
          <w:szCs w:val="22"/>
        </w:rPr>
        <w:t>Title 20 1605.1(1) and 1605.1(2)</w:t>
      </w:r>
      <w:r w:rsidRPr="00FF39EC">
        <w:rPr>
          <w:rStyle w:val="FootnoteReference"/>
          <w:sz w:val="22"/>
          <w:szCs w:val="22"/>
        </w:rPr>
        <w:footnoteReference w:id="2"/>
      </w:r>
      <w:r w:rsidRPr="00FF39EC">
        <w:rPr>
          <w:sz w:val="22"/>
          <w:szCs w:val="22"/>
        </w:rPr>
        <w:t xml:space="preserve"> as well as Federal Standard 10 CFR § 430.2(i)(2) and 430.2(b)</w:t>
      </w:r>
      <w:r w:rsidRPr="00FF39EC">
        <w:rPr>
          <w:rStyle w:val="FootnoteReference"/>
          <w:sz w:val="22"/>
          <w:szCs w:val="22"/>
        </w:rPr>
        <w:footnoteReference w:id="3"/>
      </w:r>
      <w:r w:rsidRPr="00FF39EC">
        <w:rPr>
          <w:sz w:val="22"/>
          <w:szCs w:val="22"/>
        </w:rPr>
        <w:t xml:space="preserve"> for the wall furnace and window air conditioner, respectively.</w:t>
      </w:r>
    </w:p>
    <w:p w14:paraId="4FEFF8D3" w14:textId="77777777" w:rsidR="00570C81" w:rsidRDefault="00570C81" w:rsidP="009926D7">
      <w:pPr>
        <w:pStyle w:val="Default"/>
        <w:jc w:val="both"/>
        <w:rPr>
          <w:b/>
          <w:szCs w:val="20"/>
        </w:rPr>
      </w:pPr>
    </w:p>
    <w:p w14:paraId="6165CD43" w14:textId="650FAFE4" w:rsidR="00327C23" w:rsidRPr="00D52C43" w:rsidRDefault="00327C23" w:rsidP="00B13E72">
      <w:pPr>
        <w:jc w:val="both"/>
        <w:rPr>
          <w:rFonts w:cs="Calibri Light"/>
          <w:b/>
          <w:szCs w:val="20"/>
        </w:rPr>
      </w:pPr>
      <w:r>
        <w:rPr>
          <w:b/>
          <w:szCs w:val="20"/>
        </w:rPr>
        <w:t>Base Case Technology Characterization</w:t>
      </w:r>
    </w:p>
    <w:tbl>
      <w:tblPr>
        <w:tblpPr w:leftFromText="180" w:rightFromText="180" w:vertAnchor="text" w:horzAnchor="margin" w:tblpY="5"/>
        <w:tblW w:w="92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4678"/>
        <w:gridCol w:w="2343"/>
        <w:gridCol w:w="2204"/>
      </w:tblGrid>
      <w:tr w:rsidR="007C7A88" w:rsidRPr="00C6243E" w14:paraId="4251DDF5" w14:textId="42400B49" w:rsidTr="00E51366">
        <w:trPr>
          <w:trHeight w:val="241"/>
        </w:trPr>
        <w:tc>
          <w:tcPr>
            <w:tcW w:w="4678" w:type="dxa"/>
            <w:shd w:val="clear" w:color="auto" w:fill="F2F2F2" w:themeFill="background1" w:themeFillShade="F2"/>
            <w:vAlign w:val="center"/>
          </w:tcPr>
          <w:p w14:paraId="19807323" w14:textId="04DD9440" w:rsidR="007C7A88" w:rsidRPr="00C6243E" w:rsidRDefault="007C7A88" w:rsidP="00FF39EC">
            <w:pPr>
              <w:spacing w:before="0" w:after="0" w:line="240" w:lineRule="auto"/>
              <w:jc w:val="center"/>
              <w:rPr>
                <w:rFonts w:cs="Calibri Light"/>
                <w:b/>
                <w:sz w:val="20"/>
                <w:szCs w:val="20"/>
              </w:rPr>
            </w:pPr>
            <w:r>
              <w:rPr>
                <w:rFonts w:cs="Calibri Light"/>
                <w:b/>
                <w:sz w:val="20"/>
                <w:szCs w:val="20"/>
              </w:rPr>
              <w:t>Equipment</w:t>
            </w:r>
          </w:p>
        </w:tc>
        <w:tc>
          <w:tcPr>
            <w:tcW w:w="2343" w:type="dxa"/>
            <w:shd w:val="clear" w:color="auto" w:fill="F2F2F2" w:themeFill="background1" w:themeFillShade="F2"/>
            <w:vAlign w:val="center"/>
          </w:tcPr>
          <w:p w14:paraId="6FCDB97D" w14:textId="6C0602BB" w:rsidR="007C7A88" w:rsidRPr="00C6243E" w:rsidRDefault="007C7A88" w:rsidP="00FF39EC">
            <w:pPr>
              <w:spacing w:before="0" w:after="0" w:line="240" w:lineRule="auto"/>
              <w:jc w:val="center"/>
              <w:rPr>
                <w:rFonts w:cs="Calibri Light"/>
                <w:b/>
                <w:sz w:val="20"/>
                <w:szCs w:val="20"/>
              </w:rPr>
            </w:pPr>
            <w:r>
              <w:rPr>
                <w:rFonts w:cs="Calibri Light"/>
                <w:b/>
                <w:sz w:val="20"/>
                <w:szCs w:val="20"/>
              </w:rPr>
              <w:t>AFUE</w:t>
            </w:r>
          </w:p>
        </w:tc>
        <w:tc>
          <w:tcPr>
            <w:tcW w:w="2204" w:type="dxa"/>
            <w:shd w:val="clear" w:color="auto" w:fill="F2F2F2" w:themeFill="background1" w:themeFillShade="F2"/>
            <w:vAlign w:val="center"/>
          </w:tcPr>
          <w:p w14:paraId="2DFDC324" w14:textId="6D1C11B9" w:rsidR="007C7A88" w:rsidRDefault="007C7A88" w:rsidP="00FF39EC">
            <w:pPr>
              <w:spacing w:before="0" w:after="0" w:line="240" w:lineRule="auto"/>
              <w:jc w:val="center"/>
              <w:rPr>
                <w:rFonts w:cs="Calibri Light"/>
                <w:b/>
                <w:sz w:val="20"/>
                <w:szCs w:val="20"/>
              </w:rPr>
            </w:pPr>
            <w:r>
              <w:rPr>
                <w:rFonts w:cs="Calibri Light"/>
                <w:b/>
                <w:sz w:val="20"/>
                <w:szCs w:val="20"/>
              </w:rPr>
              <w:t>EER</w:t>
            </w:r>
          </w:p>
        </w:tc>
      </w:tr>
      <w:tr w:rsidR="007C7A88" w:rsidRPr="00C6243E" w14:paraId="7A7B67F5" w14:textId="7B340AD3" w:rsidTr="00E51366">
        <w:trPr>
          <w:trHeight w:val="252"/>
        </w:trPr>
        <w:tc>
          <w:tcPr>
            <w:tcW w:w="4678" w:type="dxa"/>
            <w:vAlign w:val="center"/>
          </w:tcPr>
          <w:p w14:paraId="59BCC90F" w14:textId="32901C61" w:rsidR="007C7A88" w:rsidRPr="00C6243E" w:rsidRDefault="007C7A88" w:rsidP="00FF39EC">
            <w:pPr>
              <w:spacing w:before="0" w:after="0" w:line="240" w:lineRule="auto"/>
              <w:rPr>
                <w:rFonts w:cs="Calibri Light"/>
                <w:sz w:val="20"/>
                <w:szCs w:val="20"/>
              </w:rPr>
            </w:pPr>
            <w:r>
              <w:rPr>
                <w:rFonts w:cs="Calibri Light"/>
                <w:sz w:val="20"/>
                <w:szCs w:val="20"/>
              </w:rPr>
              <w:t>Natural Gas Wall Furnace</w:t>
            </w:r>
          </w:p>
        </w:tc>
        <w:tc>
          <w:tcPr>
            <w:tcW w:w="2343" w:type="dxa"/>
            <w:vAlign w:val="center"/>
          </w:tcPr>
          <w:p w14:paraId="3A7A221C" w14:textId="4BB60B91" w:rsidR="007C7A88" w:rsidRPr="00A65803" w:rsidRDefault="007C7A88" w:rsidP="00FF39EC">
            <w:pPr>
              <w:spacing w:before="0" w:after="0" w:line="240" w:lineRule="auto"/>
              <w:jc w:val="center"/>
              <w:rPr>
                <w:rFonts w:cs="Calibri Light"/>
                <w:sz w:val="20"/>
                <w:szCs w:val="20"/>
              </w:rPr>
            </w:pPr>
            <w:r w:rsidRPr="00A65803">
              <w:rPr>
                <w:rFonts w:cs="Calibri Light"/>
                <w:sz w:val="20"/>
                <w:szCs w:val="20"/>
              </w:rPr>
              <w:t>67%</w:t>
            </w:r>
          </w:p>
        </w:tc>
        <w:tc>
          <w:tcPr>
            <w:tcW w:w="2204" w:type="dxa"/>
            <w:vAlign w:val="center"/>
          </w:tcPr>
          <w:p w14:paraId="16903D30" w14:textId="03465B76" w:rsidR="007C7A88" w:rsidRDefault="007C7A88" w:rsidP="00FF39EC">
            <w:pPr>
              <w:spacing w:before="0" w:after="0" w:line="240" w:lineRule="auto"/>
              <w:jc w:val="center"/>
              <w:rPr>
                <w:rFonts w:cs="Calibri Light"/>
                <w:sz w:val="20"/>
                <w:szCs w:val="20"/>
              </w:rPr>
            </w:pPr>
            <w:r>
              <w:rPr>
                <w:rFonts w:cs="Calibri Light"/>
                <w:sz w:val="20"/>
                <w:szCs w:val="20"/>
              </w:rPr>
              <w:t>N/A</w:t>
            </w:r>
          </w:p>
        </w:tc>
      </w:tr>
      <w:tr w:rsidR="007C7A88" w:rsidRPr="00C6243E" w14:paraId="118ACA68" w14:textId="77777777" w:rsidTr="00E51366">
        <w:trPr>
          <w:trHeight w:val="252"/>
        </w:trPr>
        <w:tc>
          <w:tcPr>
            <w:tcW w:w="4678" w:type="dxa"/>
            <w:vAlign w:val="center"/>
          </w:tcPr>
          <w:p w14:paraId="52F6B3E8" w14:textId="0BA961B2" w:rsidR="007C7A88" w:rsidRDefault="007C7A88" w:rsidP="00FF39EC">
            <w:pPr>
              <w:spacing w:before="0" w:after="0" w:line="240" w:lineRule="auto"/>
              <w:rPr>
                <w:rFonts w:cs="Calibri Light"/>
                <w:sz w:val="20"/>
                <w:szCs w:val="20"/>
              </w:rPr>
            </w:pPr>
            <w:r>
              <w:rPr>
                <w:rFonts w:cs="Calibri Light"/>
                <w:sz w:val="20"/>
                <w:szCs w:val="20"/>
              </w:rPr>
              <w:t>Electric Window Air Conditioner</w:t>
            </w:r>
          </w:p>
        </w:tc>
        <w:tc>
          <w:tcPr>
            <w:tcW w:w="2343" w:type="dxa"/>
            <w:vAlign w:val="center"/>
          </w:tcPr>
          <w:p w14:paraId="5D60AFE9" w14:textId="2493ADB0" w:rsidR="007C7A88" w:rsidRDefault="007C7A88" w:rsidP="00FF39EC">
            <w:pPr>
              <w:spacing w:before="0" w:after="0" w:line="240" w:lineRule="auto"/>
              <w:jc w:val="center"/>
              <w:rPr>
                <w:rFonts w:cs="Calibri Light"/>
                <w:sz w:val="20"/>
                <w:szCs w:val="20"/>
              </w:rPr>
            </w:pPr>
            <w:r>
              <w:rPr>
                <w:rFonts w:cs="Calibri Light"/>
                <w:sz w:val="20"/>
                <w:szCs w:val="20"/>
              </w:rPr>
              <w:t>N/A</w:t>
            </w:r>
          </w:p>
        </w:tc>
        <w:tc>
          <w:tcPr>
            <w:tcW w:w="2204" w:type="dxa"/>
            <w:vAlign w:val="center"/>
          </w:tcPr>
          <w:p w14:paraId="555AA578" w14:textId="27FB0CC6" w:rsidR="007C7A88" w:rsidRDefault="00452320" w:rsidP="00FF39EC">
            <w:pPr>
              <w:spacing w:before="0" w:after="0" w:line="240" w:lineRule="auto"/>
              <w:jc w:val="center"/>
              <w:rPr>
                <w:rFonts w:cs="Calibri Light"/>
                <w:sz w:val="20"/>
                <w:szCs w:val="20"/>
              </w:rPr>
            </w:pPr>
            <w:r>
              <w:rPr>
                <w:rFonts w:cs="Calibri Light"/>
                <w:sz w:val="20"/>
                <w:szCs w:val="20"/>
              </w:rPr>
              <w:t>11.0</w:t>
            </w:r>
          </w:p>
        </w:tc>
      </w:tr>
    </w:tbl>
    <w:p w14:paraId="79D6B339" w14:textId="77777777" w:rsidR="00A033DD" w:rsidRDefault="00A033DD" w:rsidP="00E51366">
      <w:pPr>
        <w:jc w:val="both"/>
      </w:pPr>
      <w:bookmarkStart w:id="15" w:name="_Toc486490850"/>
      <w:bookmarkStart w:id="16" w:name="_Toc486580921"/>
    </w:p>
    <w:p w14:paraId="66DA7A31" w14:textId="613BB1A6" w:rsidR="00375BD8" w:rsidRPr="00C6243E" w:rsidRDefault="00375BD8" w:rsidP="00B13E72">
      <w:pPr>
        <w:pStyle w:val="eTRMHeading3"/>
        <w:jc w:val="both"/>
        <w:rPr>
          <w:rFonts w:cs="Calibri Light"/>
        </w:rPr>
      </w:pPr>
      <w:bookmarkStart w:id="17" w:name="_Toc64561059"/>
      <w:r w:rsidRPr="000B233C">
        <w:rPr>
          <w:rFonts w:cs="Calibri Light"/>
        </w:rPr>
        <w:t>Code Requirements</w:t>
      </w:r>
      <w:bookmarkEnd w:id="15"/>
      <w:bookmarkEnd w:id="16"/>
      <w:bookmarkEnd w:id="17"/>
    </w:p>
    <w:p w14:paraId="17706DDA" w14:textId="31EB7F9C" w:rsidR="006C637E" w:rsidRDefault="00375BD8" w:rsidP="00B13E72">
      <w:pPr>
        <w:jc w:val="both"/>
        <w:rPr>
          <w:rFonts w:cs="Calibri Light"/>
        </w:rPr>
      </w:pPr>
      <w:r w:rsidRPr="00C6243E">
        <w:rPr>
          <w:rFonts w:cs="Calibri Light"/>
        </w:rPr>
        <w:t xml:space="preserve">This measure is governed by California Appliance Efficiency </w:t>
      </w:r>
      <w:r w:rsidR="005679DF">
        <w:rPr>
          <w:rFonts w:cs="Calibri Light"/>
        </w:rPr>
        <w:t>Standards</w:t>
      </w:r>
      <w:r w:rsidRPr="00C6243E">
        <w:rPr>
          <w:rFonts w:cs="Calibri Light"/>
        </w:rPr>
        <w:t xml:space="preserve"> (Title 20</w:t>
      </w:r>
      <w:r w:rsidR="005679DF">
        <w:rPr>
          <w:rFonts w:cs="Calibri Light"/>
        </w:rPr>
        <w:t>), California Building Energy Efficiency Standards (Title 24</w:t>
      </w:r>
      <w:r w:rsidRPr="00C6243E">
        <w:rPr>
          <w:rFonts w:cs="Calibri Light"/>
        </w:rPr>
        <w:t>)</w:t>
      </w:r>
      <w:r w:rsidR="005679DF">
        <w:rPr>
          <w:rFonts w:cs="Calibri Light"/>
        </w:rPr>
        <w:t xml:space="preserve">, </w:t>
      </w:r>
      <w:r w:rsidR="00D52C43">
        <w:rPr>
          <w:rFonts w:cs="Calibri Light"/>
        </w:rPr>
        <w:t>and</w:t>
      </w:r>
      <w:r w:rsidRPr="00C6243E">
        <w:rPr>
          <w:rFonts w:cs="Calibri Light"/>
        </w:rPr>
        <w:t xml:space="preserve"> </w:t>
      </w:r>
      <w:r w:rsidR="00D50F3D">
        <w:rPr>
          <w:rFonts w:cs="Calibri Light"/>
        </w:rPr>
        <w:t>F</w:t>
      </w:r>
      <w:r w:rsidRPr="00C6243E">
        <w:rPr>
          <w:rFonts w:cs="Calibri Light"/>
        </w:rPr>
        <w:t xml:space="preserve">ederal </w:t>
      </w:r>
      <w:r w:rsidR="00D50F3D">
        <w:rPr>
          <w:rFonts w:cs="Calibri Light"/>
        </w:rPr>
        <w:t>R</w:t>
      </w:r>
      <w:r w:rsidRPr="00C6243E">
        <w:rPr>
          <w:rFonts w:cs="Calibri Light"/>
        </w:rPr>
        <w:t>egulations.</w:t>
      </w:r>
      <w:r w:rsidR="000B233C">
        <w:rPr>
          <w:rFonts w:cs="Calibri Light"/>
        </w:rPr>
        <w:t xml:space="preserve"> </w:t>
      </w:r>
    </w:p>
    <w:p w14:paraId="328B41F0" w14:textId="77777777" w:rsidR="00FF39EC" w:rsidRPr="00C6243E" w:rsidRDefault="00FF39EC" w:rsidP="00B13E72">
      <w:pPr>
        <w:jc w:val="both"/>
        <w:rPr>
          <w:rFonts w:cs="Calibri Light"/>
        </w:rPr>
      </w:pPr>
    </w:p>
    <w:tbl>
      <w:tblPr>
        <w:tblW w:w="963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871"/>
        <w:gridCol w:w="1980"/>
        <w:gridCol w:w="1709"/>
        <w:gridCol w:w="2070"/>
      </w:tblGrid>
      <w:tr w:rsidR="005679DF" w:rsidRPr="00154391" w14:paraId="72A27FBC" w14:textId="77777777" w:rsidTr="00E76807">
        <w:trPr>
          <w:trHeight w:val="297"/>
        </w:trPr>
        <w:tc>
          <w:tcPr>
            <w:tcW w:w="3871" w:type="dxa"/>
            <w:shd w:val="clear" w:color="auto" w:fill="F2F2F2" w:themeFill="background1" w:themeFillShade="F2"/>
            <w:vAlign w:val="bottom"/>
          </w:tcPr>
          <w:p w14:paraId="47E62C6C" w14:textId="77777777" w:rsidR="005679DF" w:rsidRPr="00154391" w:rsidRDefault="005679DF" w:rsidP="00E71F04">
            <w:pPr>
              <w:keepNext/>
              <w:keepLines/>
              <w:spacing w:before="20" w:after="20"/>
              <w:rPr>
                <w:b/>
                <w:sz w:val="20"/>
                <w:szCs w:val="20"/>
              </w:rPr>
            </w:pPr>
            <w:bookmarkStart w:id="18" w:name="_Toc486490851"/>
            <w:bookmarkStart w:id="19" w:name="_Toc486580922"/>
            <w:r w:rsidRPr="0079498E">
              <w:rPr>
                <w:b/>
                <w:sz w:val="20"/>
              </w:rPr>
              <w:t>Code</w:t>
            </w:r>
          </w:p>
        </w:tc>
        <w:tc>
          <w:tcPr>
            <w:tcW w:w="1980" w:type="dxa"/>
            <w:shd w:val="clear" w:color="auto" w:fill="F2F2F2" w:themeFill="background1" w:themeFillShade="F2"/>
          </w:tcPr>
          <w:p w14:paraId="644317CE" w14:textId="77777777" w:rsidR="005679DF" w:rsidRPr="0079498E" w:rsidRDefault="005679DF" w:rsidP="00E71F04">
            <w:pPr>
              <w:keepNext/>
              <w:keepLines/>
              <w:spacing w:before="20" w:after="20"/>
              <w:jc w:val="center"/>
              <w:rPr>
                <w:b/>
                <w:sz w:val="20"/>
              </w:rPr>
            </w:pPr>
            <w:r>
              <w:rPr>
                <w:b/>
                <w:sz w:val="20"/>
              </w:rPr>
              <w:t>Technology</w:t>
            </w:r>
          </w:p>
        </w:tc>
        <w:tc>
          <w:tcPr>
            <w:tcW w:w="1709" w:type="dxa"/>
            <w:shd w:val="clear" w:color="auto" w:fill="F2F2F2" w:themeFill="background1" w:themeFillShade="F2"/>
            <w:vAlign w:val="bottom"/>
          </w:tcPr>
          <w:p w14:paraId="7CF51B3D" w14:textId="77777777" w:rsidR="005679DF" w:rsidRPr="00154391" w:rsidRDefault="005679DF" w:rsidP="00E71F04">
            <w:pPr>
              <w:keepNext/>
              <w:keepLines/>
              <w:spacing w:before="20" w:after="20"/>
              <w:jc w:val="center"/>
              <w:rPr>
                <w:b/>
                <w:sz w:val="20"/>
                <w:szCs w:val="20"/>
              </w:rPr>
            </w:pPr>
            <w:r w:rsidRPr="0079498E">
              <w:rPr>
                <w:b/>
                <w:sz w:val="20"/>
              </w:rPr>
              <w:t>Code Reference</w:t>
            </w:r>
          </w:p>
        </w:tc>
        <w:tc>
          <w:tcPr>
            <w:tcW w:w="2070" w:type="dxa"/>
            <w:shd w:val="clear" w:color="auto" w:fill="F2F2F2" w:themeFill="background1" w:themeFillShade="F2"/>
            <w:vAlign w:val="bottom"/>
          </w:tcPr>
          <w:p w14:paraId="6222F875" w14:textId="77777777" w:rsidR="005679DF" w:rsidRPr="00154391" w:rsidRDefault="005679DF" w:rsidP="00E71F04">
            <w:pPr>
              <w:keepNext/>
              <w:keepLines/>
              <w:spacing w:before="20" w:after="20"/>
              <w:jc w:val="center"/>
              <w:rPr>
                <w:b/>
                <w:sz w:val="20"/>
                <w:szCs w:val="20"/>
              </w:rPr>
            </w:pPr>
            <w:r w:rsidRPr="0079498E">
              <w:rPr>
                <w:b/>
                <w:sz w:val="20"/>
              </w:rPr>
              <w:t>Effective Date</w:t>
            </w:r>
          </w:p>
        </w:tc>
      </w:tr>
      <w:tr w:rsidR="005679DF" w:rsidRPr="00FB030E" w14:paraId="32CB4A25" w14:textId="77777777" w:rsidTr="00E76807">
        <w:trPr>
          <w:cantSplit/>
          <w:trHeight w:val="19"/>
        </w:trPr>
        <w:tc>
          <w:tcPr>
            <w:tcW w:w="3871" w:type="dxa"/>
            <w:shd w:val="clear" w:color="auto" w:fill="auto"/>
            <w:vAlign w:val="center"/>
          </w:tcPr>
          <w:p w14:paraId="5F0B4A54" w14:textId="77777777" w:rsidR="005679DF" w:rsidRPr="004E748D" w:rsidRDefault="005679DF" w:rsidP="00FF39EC">
            <w:pPr>
              <w:keepNext/>
              <w:keepLines/>
              <w:spacing w:before="20" w:after="20"/>
              <w:rPr>
                <w:sz w:val="18"/>
              </w:rPr>
            </w:pPr>
            <w:r w:rsidRPr="004E748D">
              <w:rPr>
                <w:sz w:val="18"/>
              </w:rPr>
              <w:t xml:space="preserve">CA Appliance Efficiency Regulations – Title 20 </w:t>
            </w:r>
            <w:r>
              <w:rPr>
                <w:sz w:val="18"/>
              </w:rPr>
              <w:t>(2019)</w:t>
            </w:r>
          </w:p>
        </w:tc>
        <w:tc>
          <w:tcPr>
            <w:tcW w:w="1980" w:type="dxa"/>
          </w:tcPr>
          <w:p w14:paraId="4F2F5C3F" w14:textId="77777777" w:rsidR="005679DF" w:rsidRPr="00DA29DE" w:rsidRDefault="005679DF" w:rsidP="00FF39EC">
            <w:pPr>
              <w:keepNext/>
              <w:keepLines/>
              <w:spacing w:before="20" w:after="20"/>
              <w:rPr>
                <w:sz w:val="17"/>
                <w:szCs w:val="17"/>
              </w:rPr>
            </w:pPr>
            <w:r w:rsidRPr="00DA29DE">
              <w:rPr>
                <w:sz w:val="17"/>
                <w:szCs w:val="17"/>
              </w:rPr>
              <w:t>Wall Furnace</w:t>
            </w:r>
          </w:p>
        </w:tc>
        <w:tc>
          <w:tcPr>
            <w:tcW w:w="1709" w:type="dxa"/>
            <w:shd w:val="clear" w:color="auto" w:fill="auto"/>
            <w:vAlign w:val="center"/>
          </w:tcPr>
          <w:p w14:paraId="66F2ADA8" w14:textId="77777777" w:rsidR="005679DF" w:rsidRPr="00DA29DE" w:rsidRDefault="005679DF" w:rsidP="00FF39EC">
            <w:pPr>
              <w:keepNext/>
              <w:keepLines/>
              <w:spacing w:before="20" w:after="20"/>
              <w:rPr>
                <w:sz w:val="17"/>
                <w:szCs w:val="17"/>
              </w:rPr>
            </w:pPr>
            <w:r w:rsidRPr="00DA29DE">
              <w:rPr>
                <w:sz w:val="17"/>
                <w:szCs w:val="17"/>
              </w:rPr>
              <w:t>Section 1605.1 (1)</w:t>
            </w:r>
          </w:p>
        </w:tc>
        <w:tc>
          <w:tcPr>
            <w:tcW w:w="2070" w:type="dxa"/>
            <w:shd w:val="clear" w:color="auto" w:fill="auto"/>
            <w:vAlign w:val="center"/>
          </w:tcPr>
          <w:p w14:paraId="06FCFEE5" w14:textId="77777777" w:rsidR="005679DF" w:rsidRPr="00DA29DE" w:rsidRDefault="005679DF" w:rsidP="00FF39EC">
            <w:pPr>
              <w:keepNext/>
              <w:keepLines/>
              <w:spacing w:before="20" w:after="20"/>
              <w:rPr>
                <w:sz w:val="17"/>
                <w:szCs w:val="17"/>
              </w:rPr>
            </w:pPr>
            <w:r w:rsidRPr="00DA29DE">
              <w:rPr>
                <w:sz w:val="17"/>
                <w:szCs w:val="17"/>
              </w:rPr>
              <w:t>April 16, 2013</w:t>
            </w:r>
          </w:p>
        </w:tc>
      </w:tr>
      <w:tr w:rsidR="005679DF" w:rsidRPr="00FB030E" w14:paraId="5ED3D4F7" w14:textId="77777777" w:rsidTr="00E76807">
        <w:trPr>
          <w:cantSplit/>
          <w:trHeight w:val="19"/>
        </w:trPr>
        <w:tc>
          <w:tcPr>
            <w:tcW w:w="3871" w:type="dxa"/>
            <w:shd w:val="clear" w:color="auto" w:fill="auto"/>
            <w:vAlign w:val="center"/>
          </w:tcPr>
          <w:p w14:paraId="3BE834B3" w14:textId="77777777" w:rsidR="005679DF" w:rsidRPr="00DE7BAD" w:rsidRDefault="005679DF" w:rsidP="00FF39EC">
            <w:pPr>
              <w:keepNext/>
              <w:keepLines/>
              <w:spacing w:before="20" w:after="20"/>
              <w:rPr>
                <w:color w:val="FF0000"/>
                <w:sz w:val="20"/>
                <w:szCs w:val="20"/>
              </w:rPr>
            </w:pPr>
            <w:r w:rsidRPr="004E748D">
              <w:rPr>
                <w:sz w:val="18"/>
              </w:rPr>
              <w:t xml:space="preserve">CA Appliance Efficiency Regulations – Title 20 </w:t>
            </w:r>
            <w:r>
              <w:rPr>
                <w:sz w:val="18"/>
              </w:rPr>
              <w:t>(2019)</w:t>
            </w:r>
          </w:p>
        </w:tc>
        <w:tc>
          <w:tcPr>
            <w:tcW w:w="1980" w:type="dxa"/>
          </w:tcPr>
          <w:p w14:paraId="563A86E6" w14:textId="772B2D11" w:rsidR="005679DF" w:rsidRPr="00DA29DE" w:rsidRDefault="00BE0661" w:rsidP="00FF39EC">
            <w:pPr>
              <w:keepNext/>
              <w:keepLines/>
              <w:spacing w:before="20" w:after="20"/>
              <w:rPr>
                <w:sz w:val="17"/>
                <w:szCs w:val="17"/>
              </w:rPr>
            </w:pPr>
            <w:r>
              <w:rPr>
                <w:sz w:val="17"/>
                <w:szCs w:val="17"/>
              </w:rPr>
              <w:t xml:space="preserve">Window </w:t>
            </w:r>
            <w:r w:rsidR="00720EB0">
              <w:rPr>
                <w:sz w:val="17"/>
                <w:szCs w:val="17"/>
              </w:rPr>
              <w:t xml:space="preserve"> Air Conditioner</w:t>
            </w:r>
          </w:p>
        </w:tc>
        <w:tc>
          <w:tcPr>
            <w:tcW w:w="1709" w:type="dxa"/>
            <w:shd w:val="clear" w:color="auto" w:fill="auto"/>
            <w:vAlign w:val="center"/>
          </w:tcPr>
          <w:p w14:paraId="1E561786" w14:textId="77777777" w:rsidR="005679DF" w:rsidRPr="00DA29DE" w:rsidRDefault="005679DF" w:rsidP="00FF39EC">
            <w:pPr>
              <w:keepNext/>
              <w:keepLines/>
              <w:spacing w:before="20" w:after="20"/>
              <w:rPr>
                <w:sz w:val="17"/>
                <w:szCs w:val="17"/>
              </w:rPr>
            </w:pPr>
            <w:r w:rsidRPr="00DA29DE">
              <w:rPr>
                <w:sz w:val="17"/>
                <w:szCs w:val="17"/>
              </w:rPr>
              <w:t>Section 1605.1 (2)</w:t>
            </w:r>
          </w:p>
        </w:tc>
        <w:tc>
          <w:tcPr>
            <w:tcW w:w="2070" w:type="dxa"/>
            <w:shd w:val="clear" w:color="auto" w:fill="auto"/>
            <w:vAlign w:val="center"/>
          </w:tcPr>
          <w:p w14:paraId="67D12DB8" w14:textId="406F6598" w:rsidR="005679DF" w:rsidRPr="00DA29DE" w:rsidRDefault="00720EB0" w:rsidP="00FF39EC">
            <w:pPr>
              <w:keepNext/>
              <w:keepLines/>
              <w:spacing w:before="20" w:after="20"/>
              <w:rPr>
                <w:sz w:val="17"/>
                <w:szCs w:val="17"/>
              </w:rPr>
            </w:pPr>
            <w:r>
              <w:rPr>
                <w:sz w:val="17"/>
                <w:szCs w:val="17"/>
              </w:rPr>
              <w:t>June 1, 2014</w:t>
            </w:r>
          </w:p>
        </w:tc>
      </w:tr>
      <w:tr w:rsidR="005679DF" w:rsidRPr="00FB030E" w14:paraId="184F16B2" w14:textId="77777777" w:rsidTr="00E76807">
        <w:trPr>
          <w:cantSplit/>
          <w:trHeight w:val="19"/>
        </w:trPr>
        <w:tc>
          <w:tcPr>
            <w:tcW w:w="3871" w:type="dxa"/>
            <w:shd w:val="clear" w:color="auto" w:fill="auto"/>
            <w:vAlign w:val="center"/>
          </w:tcPr>
          <w:p w14:paraId="7F9E01DC" w14:textId="77777777" w:rsidR="005679DF" w:rsidRPr="004E748D" w:rsidRDefault="005679DF" w:rsidP="00FF39EC">
            <w:pPr>
              <w:keepNext/>
              <w:keepLines/>
              <w:spacing w:before="20" w:after="20"/>
              <w:rPr>
                <w:sz w:val="18"/>
              </w:rPr>
            </w:pPr>
            <w:r w:rsidRPr="004E748D">
              <w:rPr>
                <w:sz w:val="18"/>
              </w:rPr>
              <w:t xml:space="preserve">CA Appliance Efficiency Regulations – Title 20 </w:t>
            </w:r>
            <w:r>
              <w:rPr>
                <w:sz w:val="18"/>
              </w:rPr>
              <w:t>(2019)</w:t>
            </w:r>
          </w:p>
        </w:tc>
        <w:tc>
          <w:tcPr>
            <w:tcW w:w="1980" w:type="dxa"/>
          </w:tcPr>
          <w:p w14:paraId="6BBA57F8" w14:textId="77777777" w:rsidR="005679DF" w:rsidRPr="00DA29DE" w:rsidRDefault="005679DF" w:rsidP="00FF39EC">
            <w:pPr>
              <w:keepNext/>
              <w:keepLines/>
              <w:spacing w:before="20" w:after="20"/>
              <w:rPr>
                <w:sz w:val="17"/>
                <w:szCs w:val="17"/>
              </w:rPr>
            </w:pPr>
            <w:r w:rsidRPr="00DA29DE">
              <w:rPr>
                <w:sz w:val="17"/>
                <w:szCs w:val="17"/>
              </w:rPr>
              <w:t>Split-System Heat Pump</w:t>
            </w:r>
          </w:p>
        </w:tc>
        <w:tc>
          <w:tcPr>
            <w:tcW w:w="1709" w:type="dxa"/>
            <w:shd w:val="clear" w:color="auto" w:fill="auto"/>
            <w:vAlign w:val="center"/>
          </w:tcPr>
          <w:p w14:paraId="66CDB975" w14:textId="77777777" w:rsidR="005679DF" w:rsidRPr="00DA29DE" w:rsidRDefault="005679DF" w:rsidP="00FF39EC">
            <w:pPr>
              <w:keepNext/>
              <w:keepLines/>
              <w:spacing w:before="20" w:after="20"/>
              <w:rPr>
                <w:sz w:val="17"/>
                <w:szCs w:val="17"/>
              </w:rPr>
            </w:pPr>
            <w:r w:rsidRPr="00DA29DE">
              <w:rPr>
                <w:sz w:val="17"/>
                <w:szCs w:val="17"/>
              </w:rPr>
              <w:t>Section 1605.1 (c)(1)</w:t>
            </w:r>
          </w:p>
        </w:tc>
        <w:tc>
          <w:tcPr>
            <w:tcW w:w="2070" w:type="dxa"/>
            <w:shd w:val="clear" w:color="auto" w:fill="auto"/>
            <w:vAlign w:val="center"/>
          </w:tcPr>
          <w:p w14:paraId="7D509AC9" w14:textId="77777777" w:rsidR="005679DF" w:rsidRPr="00DA29DE" w:rsidRDefault="005679DF" w:rsidP="00FF39EC">
            <w:pPr>
              <w:keepNext/>
              <w:keepLines/>
              <w:spacing w:before="20" w:after="20"/>
              <w:rPr>
                <w:sz w:val="17"/>
                <w:szCs w:val="17"/>
              </w:rPr>
            </w:pPr>
            <w:r w:rsidRPr="00DA29DE">
              <w:rPr>
                <w:sz w:val="17"/>
                <w:szCs w:val="17"/>
              </w:rPr>
              <w:t>January 1, 2015</w:t>
            </w:r>
          </w:p>
        </w:tc>
      </w:tr>
      <w:tr w:rsidR="005679DF" w:rsidRPr="00FB030E" w14:paraId="421BD6F2" w14:textId="77777777" w:rsidTr="00E76807">
        <w:trPr>
          <w:cantSplit/>
          <w:trHeight w:val="19"/>
        </w:trPr>
        <w:tc>
          <w:tcPr>
            <w:tcW w:w="3871" w:type="dxa"/>
            <w:shd w:val="clear" w:color="auto" w:fill="auto"/>
            <w:vAlign w:val="center"/>
          </w:tcPr>
          <w:p w14:paraId="2D265FF1" w14:textId="77777777" w:rsidR="005679DF" w:rsidRPr="00DE7BAD" w:rsidRDefault="005679DF" w:rsidP="00FF39EC">
            <w:pPr>
              <w:keepNext/>
              <w:keepLines/>
              <w:spacing w:before="20" w:after="20"/>
              <w:rPr>
                <w:color w:val="FF0000"/>
                <w:sz w:val="20"/>
                <w:szCs w:val="20"/>
              </w:rPr>
            </w:pPr>
            <w:r w:rsidRPr="004E748D">
              <w:rPr>
                <w:sz w:val="18"/>
              </w:rPr>
              <w:t xml:space="preserve">CA Building Energy Efficiency Standards – Title 24 </w:t>
            </w:r>
            <w:r>
              <w:rPr>
                <w:sz w:val="18"/>
              </w:rPr>
              <w:t>(2019)</w:t>
            </w:r>
          </w:p>
        </w:tc>
        <w:tc>
          <w:tcPr>
            <w:tcW w:w="1980" w:type="dxa"/>
          </w:tcPr>
          <w:p w14:paraId="343B59A6" w14:textId="77777777" w:rsidR="005679DF" w:rsidRPr="00DA29DE" w:rsidRDefault="005679DF" w:rsidP="00FF39EC">
            <w:pPr>
              <w:keepNext/>
              <w:keepLines/>
              <w:spacing w:before="20" w:after="20"/>
              <w:rPr>
                <w:sz w:val="17"/>
                <w:szCs w:val="17"/>
              </w:rPr>
            </w:pPr>
            <w:r w:rsidRPr="00DA29DE">
              <w:rPr>
                <w:sz w:val="17"/>
                <w:szCs w:val="17"/>
              </w:rPr>
              <w:t>Wall Furnace</w:t>
            </w:r>
          </w:p>
        </w:tc>
        <w:tc>
          <w:tcPr>
            <w:tcW w:w="1709" w:type="dxa"/>
            <w:shd w:val="clear" w:color="auto" w:fill="auto"/>
            <w:vAlign w:val="center"/>
          </w:tcPr>
          <w:p w14:paraId="63EAF883" w14:textId="77777777" w:rsidR="005679DF" w:rsidRPr="00DA29DE" w:rsidRDefault="005679DF" w:rsidP="00FF39EC">
            <w:pPr>
              <w:keepNext/>
              <w:keepLines/>
              <w:spacing w:before="20" w:after="20"/>
              <w:rPr>
                <w:sz w:val="17"/>
                <w:szCs w:val="17"/>
              </w:rPr>
            </w:pPr>
            <w:r w:rsidRPr="00DA29DE">
              <w:rPr>
                <w:sz w:val="17"/>
                <w:szCs w:val="17"/>
              </w:rPr>
              <w:t>Section 110.1</w:t>
            </w:r>
          </w:p>
        </w:tc>
        <w:tc>
          <w:tcPr>
            <w:tcW w:w="2070" w:type="dxa"/>
            <w:shd w:val="clear" w:color="auto" w:fill="auto"/>
            <w:vAlign w:val="center"/>
          </w:tcPr>
          <w:p w14:paraId="484CB72B" w14:textId="3D168FE2" w:rsidR="005679DF" w:rsidRPr="00DA29DE" w:rsidRDefault="00826AE2" w:rsidP="00FF39EC">
            <w:pPr>
              <w:keepNext/>
              <w:keepLines/>
              <w:spacing w:before="20" w:after="20"/>
              <w:rPr>
                <w:sz w:val="17"/>
                <w:szCs w:val="17"/>
              </w:rPr>
            </w:pPr>
            <w:r>
              <w:rPr>
                <w:sz w:val="17"/>
                <w:szCs w:val="17"/>
              </w:rPr>
              <w:t>January 1, 2020</w:t>
            </w:r>
          </w:p>
        </w:tc>
      </w:tr>
      <w:tr w:rsidR="00720EB0" w:rsidRPr="00FB030E" w14:paraId="08E6D7AB" w14:textId="77777777" w:rsidTr="009926D7">
        <w:trPr>
          <w:cantSplit/>
          <w:trHeight w:val="19"/>
        </w:trPr>
        <w:tc>
          <w:tcPr>
            <w:tcW w:w="3871" w:type="dxa"/>
            <w:shd w:val="clear" w:color="auto" w:fill="auto"/>
            <w:vAlign w:val="center"/>
          </w:tcPr>
          <w:p w14:paraId="4111D216" w14:textId="77777777" w:rsidR="00720EB0" w:rsidRPr="004E748D" w:rsidRDefault="00720EB0" w:rsidP="00720EB0">
            <w:pPr>
              <w:keepNext/>
              <w:keepLines/>
              <w:spacing w:before="20" w:after="20"/>
              <w:rPr>
                <w:sz w:val="18"/>
              </w:rPr>
            </w:pPr>
            <w:r w:rsidRPr="004E748D">
              <w:rPr>
                <w:sz w:val="18"/>
              </w:rPr>
              <w:t xml:space="preserve">CA Building Energy Efficiency Standards – Title 24 </w:t>
            </w:r>
            <w:r>
              <w:rPr>
                <w:sz w:val="18"/>
              </w:rPr>
              <w:t>(2019)</w:t>
            </w:r>
          </w:p>
        </w:tc>
        <w:tc>
          <w:tcPr>
            <w:tcW w:w="1980" w:type="dxa"/>
          </w:tcPr>
          <w:p w14:paraId="63B57D77" w14:textId="4F0B5708" w:rsidR="00720EB0" w:rsidRPr="00DA29DE" w:rsidRDefault="003E555C" w:rsidP="00720EB0">
            <w:pPr>
              <w:keepNext/>
              <w:keepLines/>
              <w:spacing w:before="20" w:after="20"/>
              <w:rPr>
                <w:sz w:val="17"/>
                <w:szCs w:val="17"/>
              </w:rPr>
            </w:pPr>
            <w:r>
              <w:rPr>
                <w:sz w:val="17"/>
                <w:szCs w:val="17"/>
              </w:rPr>
              <w:t>Window Air Conditioner</w:t>
            </w:r>
          </w:p>
        </w:tc>
        <w:tc>
          <w:tcPr>
            <w:tcW w:w="1709" w:type="dxa"/>
            <w:shd w:val="clear" w:color="auto" w:fill="auto"/>
            <w:vAlign w:val="center"/>
          </w:tcPr>
          <w:p w14:paraId="449B3883" w14:textId="77777777" w:rsidR="00720EB0" w:rsidRPr="00DA29DE" w:rsidRDefault="00720EB0" w:rsidP="00720EB0">
            <w:pPr>
              <w:keepNext/>
              <w:keepLines/>
              <w:spacing w:before="20" w:after="20"/>
              <w:rPr>
                <w:sz w:val="17"/>
                <w:szCs w:val="17"/>
              </w:rPr>
            </w:pPr>
            <w:r w:rsidRPr="00DA29DE">
              <w:rPr>
                <w:sz w:val="17"/>
                <w:szCs w:val="17"/>
              </w:rPr>
              <w:t>Section 110.1</w:t>
            </w:r>
          </w:p>
        </w:tc>
        <w:tc>
          <w:tcPr>
            <w:tcW w:w="2070" w:type="dxa"/>
            <w:shd w:val="clear" w:color="auto" w:fill="auto"/>
          </w:tcPr>
          <w:p w14:paraId="11D3E437" w14:textId="39F8AD16" w:rsidR="00720EB0" w:rsidRPr="00DA29DE" w:rsidRDefault="00720EB0" w:rsidP="00720EB0">
            <w:pPr>
              <w:keepNext/>
              <w:keepLines/>
              <w:spacing w:before="20" w:after="20"/>
              <w:rPr>
                <w:sz w:val="17"/>
                <w:szCs w:val="17"/>
              </w:rPr>
            </w:pPr>
            <w:r w:rsidRPr="00BF18AC">
              <w:rPr>
                <w:sz w:val="17"/>
                <w:szCs w:val="17"/>
              </w:rPr>
              <w:t>January 1, 2020</w:t>
            </w:r>
          </w:p>
        </w:tc>
      </w:tr>
      <w:tr w:rsidR="00826AE2" w:rsidRPr="00FB030E" w14:paraId="379D1075" w14:textId="77777777" w:rsidTr="009926D7">
        <w:trPr>
          <w:cantSplit/>
          <w:trHeight w:val="19"/>
        </w:trPr>
        <w:tc>
          <w:tcPr>
            <w:tcW w:w="3871" w:type="dxa"/>
            <w:shd w:val="clear" w:color="auto" w:fill="auto"/>
            <w:vAlign w:val="center"/>
          </w:tcPr>
          <w:p w14:paraId="1AEC6BC1" w14:textId="77777777" w:rsidR="00826AE2" w:rsidRPr="004E748D" w:rsidRDefault="00826AE2" w:rsidP="00826AE2">
            <w:pPr>
              <w:keepNext/>
              <w:keepLines/>
              <w:spacing w:before="20" w:after="20"/>
              <w:rPr>
                <w:sz w:val="18"/>
              </w:rPr>
            </w:pPr>
            <w:r w:rsidRPr="004E748D">
              <w:rPr>
                <w:sz w:val="18"/>
              </w:rPr>
              <w:t xml:space="preserve">CA Building Energy Efficiency Standards – Title 24 </w:t>
            </w:r>
            <w:r>
              <w:rPr>
                <w:sz w:val="18"/>
              </w:rPr>
              <w:t>(2019)</w:t>
            </w:r>
          </w:p>
        </w:tc>
        <w:tc>
          <w:tcPr>
            <w:tcW w:w="1980" w:type="dxa"/>
          </w:tcPr>
          <w:p w14:paraId="7AEE7A2A" w14:textId="77777777" w:rsidR="00826AE2" w:rsidRPr="00DA29DE" w:rsidRDefault="00826AE2" w:rsidP="00826AE2">
            <w:pPr>
              <w:keepNext/>
              <w:keepLines/>
              <w:spacing w:before="20" w:after="20"/>
              <w:rPr>
                <w:sz w:val="17"/>
                <w:szCs w:val="17"/>
              </w:rPr>
            </w:pPr>
            <w:r w:rsidRPr="00DA29DE">
              <w:rPr>
                <w:sz w:val="17"/>
                <w:szCs w:val="17"/>
              </w:rPr>
              <w:t>Split-System Heat Pump</w:t>
            </w:r>
          </w:p>
        </w:tc>
        <w:tc>
          <w:tcPr>
            <w:tcW w:w="1709" w:type="dxa"/>
            <w:shd w:val="clear" w:color="auto" w:fill="auto"/>
            <w:vAlign w:val="center"/>
          </w:tcPr>
          <w:p w14:paraId="29D1A029" w14:textId="77777777" w:rsidR="00826AE2" w:rsidRPr="00DA29DE" w:rsidRDefault="00826AE2" w:rsidP="00826AE2">
            <w:pPr>
              <w:keepNext/>
              <w:keepLines/>
              <w:spacing w:before="20" w:after="20"/>
              <w:rPr>
                <w:sz w:val="17"/>
                <w:szCs w:val="17"/>
              </w:rPr>
            </w:pPr>
            <w:r w:rsidRPr="00DA29DE">
              <w:rPr>
                <w:sz w:val="17"/>
                <w:szCs w:val="17"/>
              </w:rPr>
              <w:t>Section 110.1</w:t>
            </w:r>
          </w:p>
        </w:tc>
        <w:tc>
          <w:tcPr>
            <w:tcW w:w="2070" w:type="dxa"/>
            <w:shd w:val="clear" w:color="auto" w:fill="auto"/>
          </w:tcPr>
          <w:p w14:paraId="69FA04F5" w14:textId="1414ED9A" w:rsidR="00826AE2" w:rsidRPr="00DA29DE" w:rsidRDefault="00826AE2" w:rsidP="00826AE2">
            <w:pPr>
              <w:keepNext/>
              <w:keepLines/>
              <w:spacing w:before="20" w:after="20"/>
              <w:rPr>
                <w:sz w:val="17"/>
                <w:szCs w:val="17"/>
              </w:rPr>
            </w:pPr>
            <w:r w:rsidRPr="00BF18AC">
              <w:rPr>
                <w:sz w:val="17"/>
                <w:szCs w:val="17"/>
              </w:rPr>
              <w:t>January 1, 2020</w:t>
            </w:r>
          </w:p>
        </w:tc>
      </w:tr>
      <w:tr w:rsidR="005679DF" w:rsidRPr="00FB030E" w14:paraId="22029379" w14:textId="77777777" w:rsidTr="00E76807">
        <w:trPr>
          <w:cantSplit/>
          <w:trHeight w:val="19"/>
        </w:trPr>
        <w:tc>
          <w:tcPr>
            <w:tcW w:w="3871" w:type="dxa"/>
            <w:shd w:val="clear" w:color="auto" w:fill="auto"/>
            <w:vAlign w:val="center"/>
          </w:tcPr>
          <w:p w14:paraId="1F8D3019" w14:textId="77777777" w:rsidR="005679DF" w:rsidRPr="00DE7BAD" w:rsidRDefault="005679DF" w:rsidP="00FF39EC">
            <w:pPr>
              <w:keepNext/>
              <w:keepLines/>
              <w:spacing w:before="20" w:after="20"/>
              <w:rPr>
                <w:color w:val="FF0000"/>
                <w:sz w:val="20"/>
                <w:szCs w:val="20"/>
              </w:rPr>
            </w:pPr>
            <w:r w:rsidRPr="004E748D">
              <w:rPr>
                <w:sz w:val="18"/>
              </w:rPr>
              <w:t>Federal Standards</w:t>
            </w:r>
            <w:r>
              <w:rPr>
                <w:sz w:val="18"/>
              </w:rPr>
              <w:t xml:space="preserve"> – Code of Federal Regulations</w:t>
            </w:r>
          </w:p>
        </w:tc>
        <w:tc>
          <w:tcPr>
            <w:tcW w:w="1980" w:type="dxa"/>
          </w:tcPr>
          <w:p w14:paraId="067AEF86" w14:textId="77777777" w:rsidR="005679DF" w:rsidRPr="00DA29DE" w:rsidRDefault="005679DF" w:rsidP="00FF39EC">
            <w:pPr>
              <w:keepNext/>
              <w:keepLines/>
              <w:spacing w:before="20" w:after="20"/>
              <w:rPr>
                <w:sz w:val="17"/>
                <w:szCs w:val="17"/>
              </w:rPr>
            </w:pPr>
            <w:r w:rsidRPr="00DA29DE">
              <w:rPr>
                <w:sz w:val="17"/>
                <w:szCs w:val="17"/>
              </w:rPr>
              <w:t>Wall Furnace</w:t>
            </w:r>
          </w:p>
        </w:tc>
        <w:tc>
          <w:tcPr>
            <w:tcW w:w="1709" w:type="dxa"/>
            <w:shd w:val="clear" w:color="auto" w:fill="auto"/>
            <w:vAlign w:val="center"/>
          </w:tcPr>
          <w:p w14:paraId="3543A340" w14:textId="77777777" w:rsidR="005679DF" w:rsidRPr="00DA29DE" w:rsidRDefault="005679DF" w:rsidP="00FF39EC">
            <w:pPr>
              <w:keepNext/>
              <w:keepLines/>
              <w:spacing w:before="20" w:after="20"/>
              <w:rPr>
                <w:sz w:val="17"/>
                <w:szCs w:val="17"/>
              </w:rPr>
            </w:pPr>
            <w:r w:rsidRPr="00DA29DE">
              <w:rPr>
                <w:sz w:val="17"/>
                <w:szCs w:val="17"/>
              </w:rPr>
              <w:t>Section 110.1 (i)(2)</w:t>
            </w:r>
          </w:p>
        </w:tc>
        <w:tc>
          <w:tcPr>
            <w:tcW w:w="2070" w:type="dxa"/>
            <w:shd w:val="clear" w:color="auto" w:fill="auto"/>
            <w:vAlign w:val="center"/>
          </w:tcPr>
          <w:p w14:paraId="7EDA913B" w14:textId="77777777" w:rsidR="005679DF" w:rsidRPr="00DA29DE" w:rsidRDefault="005679DF" w:rsidP="00FF39EC">
            <w:pPr>
              <w:keepNext/>
              <w:keepLines/>
              <w:spacing w:before="20" w:after="20"/>
              <w:rPr>
                <w:sz w:val="17"/>
                <w:szCs w:val="17"/>
              </w:rPr>
            </w:pPr>
            <w:r w:rsidRPr="00DA29DE">
              <w:rPr>
                <w:sz w:val="17"/>
                <w:szCs w:val="17"/>
              </w:rPr>
              <w:t>April 16, 2013</w:t>
            </w:r>
          </w:p>
        </w:tc>
      </w:tr>
      <w:tr w:rsidR="00720EB0" w:rsidRPr="00FB030E" w14:paraId="429B0AC0" w14:textId="77777777" w:rsidTr="00E76807">
        <w:trPr>
          <w:cantSplit/>
          <w:trHeight w:val="19"/>
        </w:trPr>
        <w:tc>
          <w:tcPr>
            <w:tcW w:w="3871" w:type="dxa"/>
            <w:shd w:val="clear" w:color="auto" w:fill="auto"/>
            <w:vAlign w:val="center"/>
          </w:tcPr>
          <w:p w14:paraId="57E0595B" w14:textId="77777777" w:rsidR="00720EB0" w:rsidRPr="004E748D" w:rsidRDefault="00720EB0" w:rsidP="00720EB0">
            <w:pPr>
              <w:keepNext/>
              <w:keepLines/>
              <w:spacing w:before="20" w:after="20"/>
              <w:rPr>
                <w:sz w:val="18"/>
              </w:rPr>
            </w:pPr>
            <w:r w:rsidRPr="004E748D">
              <w:rPr>
                <w:sz w:val="18"/>
              </w:rPr>
              <w:t>Federal Standards</w:t>
            </w:r>
            <w:r>
              <w:rPr>
                <w:sz w:val="18"/>
              </w:rPr>
              <w:t xml:space="preserve"> – Code of Federal Regulations</w:t>
            </w:r>
          </w:p>
        </w:tc>
        <w:tc>
          <w:tcPr>
            <w:tcW w:w="1980" w:type="dxa"/>
          </w:tcPr>
          <w:p w14:paraId="54D0CE13" w14:textId="66A9C286" w:rsidR="00720EB0" w:rsidRPr="00DA29DE" w:rsidRDefault="003E555C" w:rsidP="00720EB0">
            <w:pPr>
              <w:keepNext/>
              <w:keepLines/>
              <w:spacing w:before="20" w:after="20"/>
              <w:rPr>
                <w:sz w:val="17"/>
                <w:szCs w:val="17"/>
              </w:rPr>
            </w:pPr>
            <w:r>
              <w:rPr>
                <w:sz w:val="17"/>
                <w:szCs w:val="17"/>
              </w:rPr>
              <w:t>Window Air Conditioner</w:t>
            </w:r>
          </w:p>
        </w:tc>
        <w:tc>
          <w:tcPr>
            <w:tcW w:w="1709" w:type="dxa"/>
            <w:shd w:val="clear" w:color="auto" w:fill="auto"/>
            <w:vAlign w:val="center"/>
          </w:tcPr>
          <w:p w14:paraId="697E9CD2" w14:textId="77777777" w:rsidR="00720EB0" w:rsidRPr="00DA29DE" w:rsidRDefault="00720EB0" w:rsidP="00720EB0">
            <w:pPr>
              <w:keepNext/>
              <w:keepLines/>
              <w:spacing w:before="20" w:after="20"/>
              <w:rPr>
                <w:sz w:val="17"/>
                <w:szCs w:val="17"/>
              </w:rPr>
            </w:pPr>
            <w:r w:rsidRPr="00DA29DE">
              <w:rPr>
                <w:sz w:val="17"/>
                <w:szCs w:val="17"/>
              </w:rPr>
              <w:t>Section 430.2 (b)</w:t>
            </w:r>
          </w:p>
        </w:tc>
        <w:tc>
          <w:tcPr>
            <w:tcW w:w="2070" w:type="dxa"/>
            <w:shd w:val="clear" w:color="auto" w:fill="auto"/>
            <w:vAlign w:val="center"/>
          </w:tcPr>
          <w:p w14:paraId="39531009" w14:textId="77777777" w:rsidR="00720EB0" w:rsidRPr="00DA29DE" w:rsidRDefault="00720EB0" w:rsidP="00720EB0">
            <w:pPr>
              <w:keepNext/>
              <w:keepLines/>
              <w:spacing w:before="20" w:after="20"/>
              <w:rPr>
                <w:sz w:val="17"/>
                <w:szCs w:val="17"/>
              </w:rPr>
            </w:pPr>
            <w:r w:rsidRPr="00DA29DE">
              <w:rPr>
                <w:sz w:val="17"/>
                <w:szCs w:val="17"/>
              </w:rPr>
              <w:t>June 1, 2014</w:t>
            </w:r>
          </w:p>
        </w:tc>
      </w:tr>
      <w:tr w:rsidR="005679DF" w:rsidRPr="00FB030E" w14:paraId="1750859C" w14:textId="77777777" w:rsidTr="00E76807">
        <w:trPr>
          <w:cantSplit/>
          <w:trHeight w:val="19"/>
        </w:trPr>
        <w:tc>
          <w:tcPr>
            <w:tcW w:w="3871" w:type="dxa"/>
            <w:shd w:val="clear" w:color="auto" w:fill="auto"/>
            <w:vAlign w:val="center"/>
          </w:tcPr>
          <w:p w14:paraId="50F84DA7" w14:textId="77777777" w:rsidR="005679DF" w:rsidRPr="004E748D" w:rsidRDefault="005679DF" w:rsidP="00FF39EC">
            <w:pPr>
              <w:keepNext/>
              <w:keepLines/>
              <w:spacing w:before="20" w:after="20"/>
              <w:rPr>
                <w:sz w:val="18"/>
              </w:rPr>
            </w:pPr>
            <w:r w:rsidRPr="004E748D">
              <w:rPr>
                <w:sz w:val="18"/>
              </w:rPr>
              <w:t>Federal Standards</w:t>
            </w:r>
            <w:r>
              <w:rPr>
                <w:sz w:val="18"/>
              </w:rPr>
              <w:t xml:space="preserve"> – Code of Federal Regulations</w:t>
            </w:r>
          </w:p>
        </w:tc>
        <w:tc>
          <w:tcPr>
            <w:tcW w:w="1980" w:type="dxa"/>
          </w:tcPr>
          <w:p w14:paraId="60C7DAB4" w14:textId="77777777" w:rsidR="005679DF" w:rsidRPr="00DA29DE" w:rsidRDefault="005679DF" w:rsidP="00FF39EC">
            <w:pPr>
              <w:keepNext/>
              <w:keepLines/>
              <w:spacing w:before="20" w:after="20"/>
              <w:rPr>
                <w:sz w:val="17"/>
                <w:szCs w:val="17"/>
              </w:rPr>
            </w:pPr>
            <w:r w:rsidRPr="00DA29DE">
              <w:rPr>
                <w:sz w:val="17"/>
                <w:szCs w:val="17"/>
              </w:rPr>
              <w:t>Split-System Heat Pump</w:t>
            </w:r>
          </w:p>
        </w:tc>
        <w:tc>
          <w:tcPr>
            <w:tcW w:w="1709" w:type="dxa"/>
            <w:shd w:val="clear" w:color="auto" w:fill="auto"/>
            <w:vAlign w:val="center"/>
          </w:tcPr>
          <w:p w14:paraId="6E1E1FD4" w14:textId="77777777" w:rsidR="005679DF" w:rsidRPr="00DA29DE" w:rsidRDefault="005679DF" w:rsidP="00FF39EC">
            <w:pPr>
              <w:keepNext/>
              <w:keepLines/>
              <w:spacing w:before="20" w:after="20"/>
              <w:rPr>
                <w:sz w:val="17"/>
                <w:szCs w:val="17"/>
              </w:rPr>
            </w:pPr>
            <w:r w:rsidRPr="00DA29DE">
              <w:rPr>
                <w:sz w:val="17"/>
                <w:szCs w:val="17"/>
              </w:rPr>
              <w:t>Section 430.2 (c)(1) Section 430.2 (c)(5)</w:t>
            </w:r>
          </w:p>
        </w:tc>
        <w:tc>
          <w:tcPr>
            <w:tcW w:w="2070" w:type="dxa"/>
            <w:shd w:val="clear" w:color="auto" w:fill="auto"/>
            <w:vAlign w:val="center"/>
          </w:tcPr>
          <w:p w14:paraId="14B7EC33" w14:textId="77777777" w:rsidR="005679DF" w:rsidRPr="00DA29DE" w:rsidRDefault="005679DF" w:rsidP="00FF39EC">
            <w:pPr>
              <w:keepNext/>
              <w:keepLines/>
              <w:spacing w:before="20" w:after="20"/>
              <w:rPr>
                <w:sz w:val="17"/>
                <w:szCs w:val="17"/>
              </w:rPr>
            </w:pPr>
            <w:r w:rsidRPr="00DA29DE">
              <w:rPr>
                <w:sz w:val="17"/>
                <w:szCs w:val="17"/>
              </w:rPr>
              <w:t>January 1, 2015</w:t>
            </w:r>
          </w:p>
          <w:p w14:paraId="6EED0E75" w14:textId="77777777" w:rsidR="005679DF" w:rsidRPr="00DA29DE" w:rsidRDefault="005679DF" w:rsidP="00FF39EC">
            <w:pPr>
              <w:keepNext/>
              <w:keepLines/>
              <w:spacing w:before="20" w:after="20"/>
              <w:rPr>
                <w:sz w:val="17"/>
                <w:szCs w:val="17"/>
              </w:rPr>
            </w:pPr>
            <w:r w:rsidRPr="00DA29DE">
              <w:rPr>
                <w:sz w:val="17"/>
                <w:szCs w:val="17"/>
              </w:rPr>
              <w:t>January 1, 2023</w:t>
            </w:r>
          </w:p>
        </w:tc>
      </w:tr>
    </w:tbl>
    <w:p w14:paraId="5695CABD" w14:textId="77777777" w:rsidR="00E71F04" w:rsidRDefault="00E71F04" w:rsidP="00B13E72">
      <w:pPr>
        <w:jc w:val="both"/>
        <w:rPr>
          <w:noProof/>
        </w:rPr>
      </w:pPr>
    </w:p>
    <w:p w14:paraId="2BF8C09B" w14:textId="49C931ED" w:rsidR="005679DF" w:rsidRDefault="005679DF" w:rsidP="00B13E72">
      <w:pPr>
        <w:jc w:val="both"/>
        <w:rPr>
          <w:noProof/>
        </w:rPr>
      </w:pPr>
      <w:r>
        <w:rPr>
          <w:u w:val="single"/>
        </w:rPr>
        <w:t>Base</w:t>
      </w:r>
      <w:r w:rsidRPr="00145F4B">
        <w:rPr>
          <w:u w:val="single"/>
        </w:rPr>
        <w:t xml:space="preserve"> Case Code Requirements</w:t>
      </w:r>
    </w:p>
    <w:p w14:paraId="7E90B5FF" w14:textId="6FEFB961" w:rsidR="005679DF" w:rsidRPr="005679DF" w:rsidRDefault="005679DF" w:rsidP="00B13E72">
      <w:pPr>
        <w:pStyle w:val="NoSpacing"/>
        <w:jc w:val="both"/>
        <w:rPr>
          <w:b/>
        </w:rPr>
      </w:pPr>
      <w:r w:rsidRPr="005679DF">
        <w:rPr>
          <w:b/>
        </w:rPr>
        <w:t>Title 20</w:t>
      </w:r>
      <w:r>
        <w:rPr>
          <w:b/>
        </w:rPr>
        <w:t xml:space="preserve"> 1605.1(1) California State </w:t>
      </w:r>
      <w:r w:rsidRPr="005679DF">
        <w:rPr>
          <w:b/>
        </w:rPr>
        <w:t>Minimum AFUE (%) for Residential Gas Wall Furnace</w:t>
      </w:r>
    </w:p>
    <w:p w14:paraId="10A2F884" w14:textId="0FE06379" w:rsidR="005679DF" w:rsidRPr="00E00D76" w:rsidRDefault="005679DF" w:rsidP="00E00D76">
      <w:pPr>
        <w:pStyle w:val="Default"/>
        <w:jc w:val="both"/>
        <w:rPr>
          <w:sz w:val="22"/>
          <w:szCs w:val="22"/>
        </w:rPr>
      </w:pPr>
      <w:r w:rsidRPr="00E00D76">
        <w:rPr>
          <w:sz w:val="22"/>
          <w:szCs w:val="22"/>
        </w:rPr>
        <w:t>Each residential gas wall furnace must have a minimum AFUE not less than the value shown in Table E-2.</w:t>
      </w:r>
    </w:p>
    <w:p w14:paraId="5724A39D" w14:textId="77777777" w:rsidR="005679DF" w:rsidRDefault="005679DF" w:rsidP="00E71F04">
      <w:pPr>
        <w:pStyle w:val="NoSpacing"/>
        <w:jc w:val="center"/>
        <w:rPr>
          <w:i/>
        </w:rPr>
      </w:pPr>
      <w:r>
        <w:rPr>
          <w:rFonts w:ascii="Calibri" w:hAnsi="Calibri" w:cs="Calibri"/>
          <w:noProof/>
        </w:rPr>
        <w:lastRenderedPageBreak/>
        <w:drawing>
          <wp:inline distT="0" distB="0" distL="0" distR="0" wp14:anchorId="6A1837DE" wp14:editId="3E2437C2">
            <wp:extent cx="4761518" cy="2377440"/>
            <wp:effectExtent l="0" t="0" r="1270" b="3810"/>
            <wp:docPr id="14" name="Picture 14" descr="Machine generated alternative text:&#10;Table E-2 &#10;Standards for Gas Wall Fumaces, Flmr Furnaces, and Room Heaters &#10;Appliance &#10;Wall fum ace &#10;Wall furnace &#10;Wall fum ace &#10;Wall fum ace &#10;Wall fumace &#10;Floor fumace &#10;Floor fumace &#10;Room heater &#10;Room heater &#10;Room heater &#10;Room heater &#10;Des ign &#10;Type &#10;Gravity &#10;Capac jty &#10;(Btu per hour' &#10;± 42,000 &#10;&gt; 42,000 &#10;&gt; 27,000 and 46,000 &#10;&gt; 48 000 &#10;± 37 000 &#10;&gt; 37,000 &#10;&gt; 20,000 and 27,000 &#10;&gt; 27,000 and 46,000 &#10;&gt; 48 000 &#10;Minimum AFL.'E &#10;Effective On or After j,' I &#10;201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hine generated alternative text:&#10;Table E-2 &#10;Standards for Gas Wall Fumaces, Flmr Furnaces, and Room Heaters &#10;Appliance &#10;Wall fum ace &#10;Wall furnace &#10;Wall fum ace &#10;Wall fum ace &#10;Wall fumace &#10;Floor fumace &#10;Floor fumace &#10;Room heater &#10;Room heater &#10;Room heater &#10;Room heater &#10;Des ign &#10;Type &#10;Gravity &#10;Capac jty &#10;(Btu per hour' &#10;± 42,000 &#10;&gt; 42,000 &#10;&gt; 27,000 and 46,000 &#10;&gt; 48 000 &#10;± 37 000 &#10;&gt; 37,000 &#10;&gt; 20,000 and 27,000 &#10;&gt; 27,000 and 46,000 &#10;&gt; 48 000 &#10;Minimum AFL.'E &#10;Effective On or After j,' I &#10;2013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7288" cy="2380321"/>
                    </a:xfrm>
                    <a:prstGeom prst="rect">
                      <a:avLst/>
                    </a:prstGeom>
                    <a:noFill/>
                    <a:ln>
                      <a:noFill/>
                    </a:ln>
                  </pic:spPr>
                </pic:pic>
              </a:graphicData>
            </a:graphic>
          </wp:inline>
        </w:drawing>
      </w:r>
    </w:p>
    <w:p w14:paraId="33A598B3" w14:textId="77777777" w:rsidR="005679DF" w:rsidRDefault="005679DF" w:rsidP="00B13E72">
      <w:pPr>
        <w:pStyle w:val="NoSpacing"/>
        <w:jc w:val="both"/>
        <w:rPr>
          <w:i/>
        </w:rPr>
      </w:pPr>
    </w:p>
    <w:p w14:paraId="72DFDC9F" w14:textId="0701025C" w:rsidR="005679DF" w:rsidRPr="005679DF" w:rsidRDefault="005679DF" w:rsidP="00B13E72">
      <w:pPr>
        <w:pStyle w:val="NoSpacing"/>
        <w:jc w:val="both"/>
        <w:rPr>
          <w:b/>
        </w:rPr>
      </w:pPr>
      <w:r w:rsidRPr="005679DF">
        <w:rPr>
          <w:b/>
        </w:rPr>
        <w:t>Title 24 Section 110.1</w:t>
      </w:r>
      <w:r>
        <w:rPr>
          <w:sz w:val="17"/>
          <w:szCs w:val="17"/>
        </w:rPr>
        <w:t xml:space="preserve"> </w:t>
      </w:r>
      <w:r w:rsidRPr="005679DF">
        <w:rPr>
          <w:b/>
        </w:rPr>
        <w:t>California State Minimum AFUE (%) for Residential Gas Wall Furnace</w:t>
      </w:r>
    </w:p>
    <w:p w14:paraId="111FB88D" w14:textId="77777777" w:rsidR="005679DF" w:rsidRPr="00E00D76" w:rsidRDefault="005679DF" w:rsidP="00E00D76">
      <w:pPr>
        <w:pStyle w:val="Default"/>
        <w:jc w:val="both"/>
        <w:rPr>
          <w:sz w:val="22"/>
          <w:szCs w:val="22"/>
        </w:rPr>
      </w:pPr>
      <w:r w:rsidRPr="00E00D76">
        <w:rPr>
          <w:sz w:val="22"/>
          <w:szCs w:val="22"/>
        </w:rPr>
        <w:t>Refers to California Appliance Efficiency Regulations Title 20 – Table E-2 in section 1605.1 (1)</w:t>
      </w:r>
    </w:p>
    <w:p w14:paraId="08F7A536" w14:textId="77777777" w:rsidR="005679DF" w:rsidRDefault="005679DF" w:rsidP="00B13E72">
      <w:pPr>
        <w:pStyle w:val="NoSpacing"/>
        <w:jc w:val="both"/>
        <w:rPr>
          <w:rFonts w:ascii="Calibri" w:hAnsi="Calibri" w:cs="Calibri"/>
          <w:color w:val="000000"/>
          <w:szCs w:val="18"/>
        </w:rPr>
      </w:pPr>
    </w:p>
    <w:p w14:paraId="1F89ADA2" w14:textId="2DE0A3A8" w:rsidR="005679DF" w:rsidRPr="005679DF" w:rsidRDefault="005679DF" w:rsidP="00B13E72">
      <w:pPr>
        <w:pStyle w:val="NoSpacing"/>
        <w:jc w:val="both"/>
        <w:rPr>
          <w:b/>
        </w:rPr>
      </w:pPr>
      <w:r w:rsidRPr="005679DF">
        <w:rPr>
          <w:b/>
        </w:rPr>
        <w:t>Code of Federal Regulations</w:t>
      </w:r>
      <w:r>
        <w:rPr>
          <w:b/>
        </w:rPr>
        <w:t xml:space="preserve"> </w:t>
      </w:r>
      <w:r w:rsidRPr="00036074">
        <w:rPr>
          <w:b/>
          <w:szCs w:val="20"/>
        </w:rPr>
        <w:t xml:space="preserve">§ </w:t>
      </w:r>
      <w:r w:rsidR="00784A52">
        <w:rPr>
          <w:b/>
          <w:szCs w:val="20"/>
        </w:rPr>
        <w:t>10</w:t>
      </w:r>
      <w:r w:rsidRPr="00036074">
        <w:rPr>
          <w:b/>
          <w:szCs w:val="20"/>
        </w:rPr>
        <w:t>0.2(</w:t>
      </w:r>
      <w:r>
        <w:rPr>
          <w:b/>
          <w:szCs w:val="20"/>
        </w:rPr>
        <w:t>i</w:t>
      </w:r>
      <w:r w:rsidRPr="00036074">
        <w:rPr>
          <w:b/>
          <w:szCs w:val="20"/>
        </w:rPr>
        <w:t>)</w:t>
      </w:r>
      <w:r>
        <w:rPr>
          <w:b/>
          <w:szCs w:val="20"/>
        </w:rPr>
        <w:t>(2)</w:t>
      </w:r>
      <w:r w:rsidRPr="005679DF">
        <w:rPr>
          <w:b/>
        </w:rPr>
        <w:t xml:space="preserve"> Minimum AFUE (%) for Residential Gas Wall Furnace</w:t>
      </w:r>
    </w:p>
    <w:p w14:paraId="7FD6EF59" w14:textId="1DF33734" w:rsidR="005679DF" w:rsidRPr="00E00D76" w:rsidRDefault="005679DF" w:rsidP="00E00D76">
      <w:pPr>
        <w:pStyle w:val="Default"/>
        <w:jc w:val="both"/>
        <w:rPr>
          <w:sz w:val="22"/>
          <w:szCs w:val="22"/>
        </w:rPr>
      </w:pPr>
      <w:r w:rsidRPr="00E00D76">
        <w:rPr>
          <w:sz w:val="22"/>
          <w:szCs w:val="22"/>
        </w:rPr>
        <w:t>The minimum AFUE for a residential gas wall furnace manufactured on or after April 16, 2013 is equivalent to the values mentioned in California Title 20 and Title 24.</w:t>
      </w:r>
    </w:p>
    <w:p w14:paraId="1A322827" w14:textId="1573D3A0" w:rsidR="005679DF" w:rsidRPr="006264F1" w:rsidRDefault="005679DF" w:rsidP="00B13E72">
      <w:pPr>
        <w:pStyle w:val="NoSpacing"/>
        <w:jc w:val="both"/>
        <w:rPr>
          <w:b/>
          <w:i/>
        </w:rPr>
      </w:pPr>
    </w:p>
    <w:p w14:paraId="113B2627" w14:textId="19987B41" w:rsidR="005679DF" w:rsidRPr="005679DF" w:rsidRDefault="005679DF" w:rsidP="00B13E72">
      <w:pPr>
        <w:pStyle w:val="NoSpacing"/>
        <w:jc w:val="both"/>
        <w:rPr>
          <w:b/>
        </w:rPr>
      </w:pPr>
      <w:r w:rsidRPr="005679DF">
        <w:rPr>
          <w:b/>
        </w:rPr>
        <w:t>Title 20</w:t>
      </w:r>
      <w:r>
        <w:rPr>
          <w:b/>
        </w:rPr>
        <w:t xml:space="preserve"> </w:t>
      </w:r>
      <w:r w:rsidRPr="005679DF">
        <w:rPr>
          <w:b/>
        </w:rPr>
        <w:t>Section 1605.</w:t>
      </w:r>
      <w:r>
        <w:rPr>
          <w:b/>
        </w:rPr>
        <w:t>1</w:t>
      </w:r>
      <w:r w:rsidRPr="005679DF">
        <w:rPr>
          <w:b/>
        </w:rPr>
        <w:t>(2)</w:t>
      </w:r>
      <w:r>
        <w:rPr>
          <w:b/>
        </w:rPr>
        <w:t xml:space="preserve"> California State </w:t>
      </w:r>
      <w:r w:rsidRPr="005679DF">
        <w:rPr>
          <w:b/>
        </w:rPr>
        <w:t xml:space="preserve">Minimum Efficiency for </w:t>
      </w:r>
      <w:r w:rsidR="00BB357C">
        <w:rPr>
          <w:b/>
        </w:rPr>
        <w:t>Room Air Conditions and Heat Pumps</w:t>
      </w:r>
    </w:p>
    <w:p w14:paraId="3E4FFDCD" w14:textId="1C017888" w:rsidR="00E71F04" w:rsidRPr="00E00D76" w:rsidRDefault="00BB357C" w:rsidP="00E00D76">
      <w:pPr>
        <w:pStyle w:val="Default"/>
        <w:jc w:val="both"/>
        <w:rPr>
          <w:sz w:val="22"/>
          <w:szCs w:val="22"/>
        </w:rPr>
      </w:pPr>
      <w:r w:rsidRPr="00E00D76">
        <w:rPr>
          <w:sz w:val="22"/>
          <w:szCs w:val="22"/>
        </w:rPr>
        <w:t>The combined EER of room air conditioners and room air-conditioning heat pumps that are manufactured on or after June 1, 2014 shall be not less than the applicable values shown in Table B-2. The EER of room air conditioners and room air-conditioning heat pumps that are labeled for use at more than one voltage shall be not less than the applicable values shown in Table B-2 at each of the labeled voltages.</w:t>
      </w:r>
      <w:r w:rsidRPr="00E00D76" w:rsidDel="00BB357C">
        <w:rPr>
          <w:sz w:val="22"/>
          <w:szCs w:val="22"/>
        </w:rPr>
        <w:t xml:space="preserve"> </w:t>
      </w:r>
    </w:p>
    <w:p w14:paraId="6F4DE7E7" w14:textId="7F79BABE" w:rsidR="005679DF" w:rsidRDefault="00BB357C" w:rsidP="00E00D76">
      <w:pPr>
        <w:pStyle w:val="NoSpacing"/>
        <w:tabs>
          <w:tab w:val="left" w:pos="4590"/>
        </w:tabs>
        <w:jc w:val="center"/>
      </w:pPr>
      <w:r>
        <w:rPr>
          <w:noProof/>
        </w:rPr>
        <w:lastRenderedPageBreak/>
        <w:drawing>
          <wp:inline distT="0" distB="0" distL="0" distR="0" wp14:anchorId="773E88A9" wp14:editId="3D8559DC">
            <wp:extent cx="5943600" cy="41871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4187190"/>
                    </a:xfrm>
                    <a:prstGeom prst="rect">
                      <a:avLst/>
                    </a:prstGeom>
                  </pic:spPr>
                </pic:pic>
              </a:graphicData>
            </a:graphic>
          </wp:inline>
        </w:drawing>
      </w:r>
    </w:p>
    <w:p w14:paraId="1AC6878D" w14:textId="77777777" w:rsidR="005679DF" w:rsidRDefault="005679DF" w:rsidP="00B13E72">
      <w:pPr>
        <w:pStyle w:val="NoSpacing"/>
        <w:jc w:val="both"/>
      </w:pPr>
    </w:p>
    <w:p w14:paraId="4D4ADECC" w14:textId="672C2042" w:rsidR="005679DF" w:rsidRPr="005679DF" w:rsidRDefault="005679DF" w:rsidP="00B13E72">
      <w:pPr>
        <w:keepNext/>
        <w:keepLines/>
        <w:spacing w:before="20" w:after="20"/>
        <w:jc w:val="both"/>
        <w:rPr>
          <w:sz w:val="17"/>
          <w:szCs w:val="17"/>
        </w:rPr>
      </w:pPr>
      <w:r w:rsidRPr="005679DF">
        <w:rPr>
          <w:b/>
        </w:rPr>
        <w:t>Title 24</w:t>
      </w:r>
      <w:r>
        <w:rPr>
          <w:b/>
        </w:rPr>
        <w:t xml:space="preserve"> </w:t>
      </w:r>
      <w:r w:rsidRPr="005679DF">
        <w:rPr>
          <w:b/>
        </w:rPr>
        <w:t>Section 110.1</w:t>
      </w:r>
      <w:r>
        <w:rPr>
          <w:b/>
        </w:rPr>
        <w:t xml:space="preserve"> </w:t>
      </w:r>
      <w:r w:rsidRPr="005679DF">
        <w:rPr>
          <w:b/>
        </w:rPr>
        <w:t>California</w:t>
      </w:r>
      <w:r>
        <w:rPr>
          <w:b/>
        </w:rPr>
        <w:t xml:space="preserve"> State</w:t>
      </w:r>
      <w:r w:rsidRPr="005679DF">
        <w:rPr>
          <w:b/>
        </w:rPr>
        <w:t xml:space="preserve"> Minimum Efficiency for Residential Terminal Air Conditioner</w:t>
      </w:r>
    </w:p>
    <w:p w14:paraId="4C522940" w14:textId="7BFE0AD9" w:rsidR="005679DF" w:rsidRDefault="005679DF" w:rsidP="00B13E72">
      <w:pPr>
        <w:pStyle w:val="NoSpacing"/>
        <w:jc w:val="both"/>
        <w:rPr>
          <w:rFonts w:ascii="Calibri" w:hAnsi="Calibri" w:cs="Calibri"/>
          <w:color w:val="000000"/>
          <w:szCs w:val="18"/>
        </w:rPr>
      </w:pPr>
      <w:r>
        <w:rPr>
          <w:rFonts w:ascii="Calibri" w:hAnsi="Calibri" w:cs="Calibri"/>
          <w:color w:val="000000"/>
          <w:szCs w:val="18"/>
        </w:rPr>
        <w:t>Refers to California Appliance Efficiency Regulations Title 20 – Table B-</w:t>
      </w:r>
      <w:r w:rsidR="00720EB0">
        <w:rPr>
          <w:rFonts w:ascii="Calibri" w:hAnsi="Calibri" w:cs="Calibri"/>
          <w:color w:val="000000"/>
          <w:szCs w:val="18"/>
        </w:rPr>
        <w:t>2</w:t>
      </w:r>
      <w:r>
        <w:rPr>
          <w:rFonts w:ascii="Calibri" w:hAnsi="Calibri" w:cs="Calibri"/>
          <w:color w:val="000000"/>
          <w:szCs w:val="18"/>
        </w:rPr>
        <w:t xml:space="preserve"> in section 1605.1 (2)</w:t>
      </w:r>
    </w:p>
    <w:p w14:paraId="070560BC" w14:textId="3D3AAD01" w:rsidR="005679DF" w:rsidRDefault="005679DF" w:rsidP="00B13E72">
      <w:pPr>
        <w:pStyle w:val="NoSpacing"/>
        <w:jc w:val="both"/>
        <w:rPr>
          <w:rFonts w:ascii="Calibri" w:hAnsi="Calibri" w:cs="Calibri"/>
          <w:color w:val="000000"/>
          <w:szCs w:val="18"/>
        </w:rPr>
      </w:pPr>
    </w:p>
    <w:p w14:paraId="0F0BD070" w14:textId="77777777" w:rsidR="00E71F04" w:rsidRDefault="00E71F04" w:rsidP="00B13E72">
      <w:pPr>
        <w:pStyle w:val="NoSpacing"/>
        <w:jc w:val="both"/>
        <w:rPr>
          <w:rFonts w:ascii="Calibri" w:hAnsi="Calibri" w:cs="Calibri"/>
          <w:color w:val="000000"/>
          <w:szCs w:val="18"/>
        </w:rPr>
      </w:pPr>
    </w:p>
    <w:p w14:paraId="3BCCA782" w14:textId="77777777" w:rsidR="009E0BE7" w:rsidRDefault="009E0BE7">
      <w:pPr>
        <w:spacing w:before="0" w:after="160" w:line="259" w:lineRule="auto"/>
        <w:rPr>
          <w:rFonts w:asciiTheme="minorHAnsi" w:eastAsiaTheme="minorHAnsi" w:hAnsiTheme="minorHAnsi"/>
          <w:b/>
          <w:szCs w:val="22"/>
        </w:rPr>
      </w:pPr>
      <w:r>
        <w:rPr>
          <w:b/>
        </w:rPr>
        <w:br w:type="page"/>
      </w:r>
    </w:p>
    <w:p w14:paraId="745CAFA9" w14:textId="4A9B1DA2" w:rsidR="005679DF" w:rsidRPr="005679DF" w:rsidRDefault="005679DF" w:rsidP="00B13E72">
      <w:pPr>
        <w:pStyle w:val="NoSpacing"/>
        <w:jc w:val="both"/>
        <w:rPr>
          <w:b/>
        </w:rPr>
      </w:pPr>
      <w:r w:rsidRPr="005679DF">
        <w:rPr>
          <w:b/>
        </w:rPr>
        <w:lastRenderedPageBreak/>
        <w:t>Code of Federal Regulations</w:t>
      </w:r>
      <w:r>
        <w:rPr>
          <w:b/>
        </w:rPr>
        <w:t xml:space="preserve"> </w:t>
      </w:r>
      <w:r w:rsidRPr="00036074">
        <w:rPr>
          <w:b/>
          <w:szCs w:val="20"/>
        </w:rPr>
        <w:t>§ 430.2</w:t>
      </w:r>
      <w:r>
        <w:rPr>
          <w:b/>
          <w:szCs w:val="20"/>
        </w:rPr>
        <w:t>(b)</w:t>
      </w:r>
      <w:r w:rsidRPr="005679DF">
        <w:rPr>
          <w:b/>
        </w:rPr>
        <w:t xml:space="preserve"> Minimum Efficiency for Residential Terminal Air Conditioner</w:t>
      </w:r>
    </w:p>
    <w:p w14:paraId="22CBDC69" w14:textId="3A00BDC8" w:rsidR="005679DF" w:rsidRDefault="005679DF" w:rsidP="00B13E72">
      <w:pPr>
        <w:pStyle w:val="NoSpacing"/>
        <w:jc w:val="both"/>
        <w:rPr>
          <w:rFonts w:ascii="Calibri" w:hAnsi="Calibri" w:cs="Calibri"/>
          <w:color w:val="000000"/>
          <w:szCs w:val="18"/>
        </w:rPr>
      </w:pPr>
      <w:r>
        <w:rPr>
          <w:rFonts w:ascii="Calibri" w:hAnsi="Calibri" w:cs="Calibri"/>
          <w:color w:val="000000"/>
          <w:szCs w:val="18"/>
        </w:rPr>
        <w:t>The residential terminal air conditioner must have a minimum combined energy efficiency ratio as shown in the table below.</w:t>
      </w:r>
    </w:p>
    <w:p w14:paraId="01D35EEC" w14:textId="77777777" w:rsidR="005679DF" w:rsidRDefault="005679DF" w:rsidP="00B13E72">
      <w:pPr>
        <w:pStyle w:val="NoSpacing"/>
        <w:jc w:val="both"/>
        <w:rPr>
          <w:rFonts w:ascii="Calibri" w:hAnsi="Calibri" w:cs="Calibri"/>
          <w:color w:val="000000"/>
          <w:szCs w:val="18"/>
        </w:rPr>
      </w:pPr>
    </w:p>
    <w:p w14:paraId="24ED2EBF" w14:textId="77777777" w:rsidR="005679DF" w:rsidRPr="00BD0481" w:rsidRDefault="005679DF" w:rsidP="00E71F04">
      <w:pPr>
        <w:pStyle w:val="NoSpacing"/>
        <w:jc w:val="center"/>
        <w:rPr>
          <w:rFonts w:ascii="Calibri" w:hAnsi="Calibri" w:cs="Calibri"/>
          <w:b/>
          <w:color w:val="000000"/>
          <w:szCs w:val="18"/>
        </w:rPr>
      </w:pPr>
      <w:r>
        <w:rPr>
          <w:noProof/>
        </w:rPr>
        <w:drawing>
          <wp:inline distT="0" distB="0" distL="0" distR="0" wp14:anchorId="5340F4F5" wp14:editId="61C0D1BA">
            <wp:extent cx="4213301" cy="4848446"/>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274726" cy="4919130"/>
                    </a:xfrm>
                    <a:prstGeom prst="rect">
                      <a:avLst/>
                    </a:prstGeom>
                  </pic:spPr>
                </pic:pic>
              </a:graphicData>
            </a:graphic>
          </wp:inline>
        </w:drawing>
      </w:r>
    </w:p>
    <w:p w14:paraId="3A2712E8" w14:textId="77777777" w:rsidR="005679DF" w:rsidRDefault="005679DF" w:rsidP="00B13E72">
      <w:pPr>
        <w:pStyle w:val="NoSpacing"/>
        <w:jc w:val="both"/>
      </w:pPr>
    </w:p>
    <w:p w14:paraId="3B2A6EB0" w14:textId="65E52163" w:rsidR="00AB65F8" w:rsidRDefault="00AB65F8" w:rsidP="00B13E72">
      <w:pPr>
        <w:pStyle w:val="NoSpacing"/>
        <w:jc w:val="both"/>
        <w:rPr>
          <w:u w:val="single"/>
        </w:rPr>
      </w:pPr>
    </w:p>
    <w:p w14:paraId="223ECFCC" w14:textId="5EB6901C" w:rsidR="00AB65F8" w:rsidRDefault="00AB65F8" w:rsidP="00B13E72">
      <w:pPr>
        <w:pStyle w:val="NoSpacing"/>
        <w:jc w:val="both"/>
        <w:rPr>
          <w:u w:val="single"/>
        </w:rPr>
      </w:pPr>
    </w:p>
    <w:p w14:paraId="1CC37B8F" w14:textId="1267DA52" w:rsidR="00AB65F8" w:rsidRDefault="00AB65F8" w:rsidP="00B13E72">
      <w:pPr>
        <w:pStyle w:val="NoSpacing"/>
        <w:jc w:val="both"/>
        <w:rPr>
          <w:u w:val="single"/>
        </w:rPr>
      </w:pPr>
    </w:p>
    <w:p w14:paraId="352F2633" w14:textId="6CD94505" w:rsidR="00AB65F8" w:rsidRDefault="00AB65F8" w:rsidP="00B13E72">
      <w:pPr>
        <w:pStyle w:val="NoSpacing"/>
        <w:jc w:val="both"/>
        <w:rPr>
          <w:u w:val="single"/>
        </w:rPr>
      </w:pPr>
    </w:p>
    <w:p w14:paraId="6639D07E" w14:textId="53005F65" w:rsidR="00AB65F8" w:rsidRDefault="00AB65F8" w:rsidP="00B13E72">
      <w:pPr>
        <w:pStyle w:val="NoSpacing"/>
        <w:jc w:val="both"/>
        <w:rPr>
          <w:u w:val="single"/>
        </w:rPr>
      </w:pPr>
    </w:p>
    <w:p w14:paraId="50587590" w14:textId="6CA30747" w:rsidR="00AB65F8" w:rsidRDefault="00AB65F8" w:rsidP="00B13E72">
      <w:pPr>
        <w:pStyle w:val="NoSpacing"/>
        <w:jc w:val="both"/>
        <w:rPr>
          <w:u w:val="single"/>
        </w:rPr>
      </w:pPr>
    </w:p>
    <w:p w14:paraId="455B1332" w14:textId="51FC4E4A" w:rsidR="00AB65F8" w:rsidRDefault="00AB65F8" w:rsidP="00B13E72">
      <w:pPr>
        <w:pStyle w:val="NoSpacing"/>
        <w:jc w:val="both"/>
        <w:rPr>
          <w:u w:val="single"/>
        </w:rPr>
      </w:pPr>
    </w:p>
    <w:p w14:paraId="575440A7" w14:textId="5641235A" w:rsidR="00AB65F8" w:rsidRDefault="00AB65F8" w:rsidP="00B13E72">
      <w:pPr>
        <w:pStyle w:val="NoSpacing"/>
        <w:jc w:val="both"/>
        <w:rPr>
          <w:u w:val="single"/>
        </w:rPr>
      </w:pPr>
    </w:p>
    <w:p w14:paraId="1BF627FD" w14:textId="4D68C4CA" w:rsidR="00AB65F8" w:rsidRDefault="00AB65F8" w:rsidP="00B13E72">
      <w:pPr>
        <w:pStyle w:val="NoSpacing"/>
        <w:jc w:val="both"/>
        <w:rPr>
          <w:u w:val="single"/>
        </w:rPr>
      </w:pPr>
    </w:p>
    <w:p w14:paraId="475255D8" w14:textId="3CB41EDA" w:rsidR="00AB65F8" w:rsidRDefault="00AB65F8" w:rsidP="00B13E72">
      <w:pPr>
        <w:pStyle w:val="NoSpacing"/>
        <w:jc w:val="both"/>
        <w:rPr>
          <w:u w:val="single"/>
        </w:rPr>
      </w:pPr>
    </w:p>
    <w:p w14:paraId="651073CD" w14:textId="43375ACF" w:rsidR="00AB65F8" w:rsidRDefault="00AB65F8" w:rsidP="00B13E72">
      <w:pPr>
        <w:pStyle w:val="NoSpacing"/>
        <w:jc w:val="both"/>
        <w:rPr>
          <w:u w:val="single"/>
        </w:rPr>
      </w:pPr>
    </w:p>
    <w:p w14:paraId="3DA3A126" w14:textId="496A0280" w:rsidR="00AB65F8" w:rsidRDefault="00AB65F8" w:rsidP="00B13E72">
      <w:pPr>
        <w:pStyle w:val="NoSpacing"/>
        <w:jc w:val="both"/>
        <w:rPr>
          <w:u w:val="single"/>
        </w:rPr>
      </w:pPr>
    </w:p>
    <w:p w14:paraId="02EEBE39" w14:textId="1C043C65" w:rsidR="00AB65F8" w:rsidRDefault="00AB65F8" w:rsidP="00B13E72">
      <w:pPr>
        <w:pStyle w:val="NoSpacing"/>
        <w:jc w:val="both"/>
        <w:rPr>
          <w:u w:val="single"/>
        </w:rPr>
      </w:pPr>
    </w:p>
    <w:p w14:paraId="66C268E6" w14:textId="789DC229" w:rsidR="00E71F04" w:rsidRDefault="00E71F04" w:rsidP="00B13E72">
      <w:pPr>
        <w:pStyle w:val="NoSpacing"/>
        <w:jc w:val="both"/>
        <w:rPr>
          <w:u w:val="single"/>
        </w:rPr>
      </w:pPr>
    </w:p>
    <w:p w14:paraId="230AF2E8" w14:textId="77777777" w:rsidR="004B3476" w:rsidRPr="00145F4B" w:rsidRDefault="004B3476" w:rsidP="004B3476">
      <w:pPr>
        <w:pStyle w:val="NoSpacing"/>
        <w:jc w:val="both"/>
        <w:rPr>
          <w:u w:val="single"/>
        </w:rPr>
      </w:pPr>
      <w:r w:rsidRPr="00145F4B">
        <w:rPr>
          <w:u w:val="single"/>
        </w:rPr>
        <w:lastRenderedPageBreak/>
        <w:t>Measure Case Code Requirements</w:t>
      </w:r>
    </w:p>
    <w:p w14:paraId="623E796B" w14:textId="511BC042" w:rsidR="003524F6" w:rsidRPr="00145F4B" w:rsidRDefault="003524F6" w:rsidP="00B13E72">
      <w:pPr>
        <w:pStyle w:val="NoSpacing"/>
        <w:jc w:val="both"/>
        <w:rPr>
          <w:u w:val="single"/>
        </w:rPr>
      </w:pPr>
      <w:r>
        <w:t xml:space="preserve">Current code requirements for relevant mini-split heat pump technologies are discussed below to verify that the measure case equipment exceeds applicable code requirements. </w:t>
      </w:r>
    </w:p>
    <w:p w14:paraId="7D985FE4" w14:textId="77777777" w:rsidR="005679DF" w:rsidRDefault="005679DF" w:rsidP="00B13E72">
      <w:pPr>
        <w:pStyle w:val="NoSpacing"/>
        <w:jc w:val="both"/>
        <w:rPr>
          <w:i/>
        </w:rPr>
      </w:pPr>
    </w:p>
    <w:p w14:paraId="59A3A137" w14:textId="6BA190B0" w:rsidR="005679DF" w:rsidRPr="005679DF" w:rsidRDefault="005679DF" w:rsidP="00B13E72">
      <w:pPr>
        <w:pStyle w:val="NoSpacing"/>
        <w:jc w:val="both"/>
        <w:rPr>
          <w:b/>
        </w:rPr>
      </w:pPr>
      <w:r w:rsidRPr="005679DF">
        <w:rPr>
          <w:b/>
        </w:rPr>
        <w:t xml:space="preserve">Title 20 </w:t>
      </w:r>
      <w:r w:rsidR="00784A52" w:rsidRPr="00784A52">
        <w:rPr>
          <w:b/>
        </w:rPr>
        <w:t>Section 1605.1(c)(1)</w:t>
      </w:r>
      <w:r w:rsidR="00784A52">
        <w:rPr>
          <w:sz w:val="17"/>
          <w:szCs w:val="17"/>
        </w:rPr>
        <w:t xml:space="preserve"> </w:t>
      </w:r>
      <w:r w:rsidR="00784A52">
        <w:rPr>
          <w:b/>
        </w:rPr>
        <w:t>California State M</w:t>
      </w:r>
      <w:r w:rsidRPr="005679DF">
        <w:rPr>
          <w:b/>
        </w:rPr>
        <w:t>inimum Efficiency for Residential Split-System Heat Pump</w:t>
      </w:r>
    </w:p>
    <w:p w14:paraId="756CB0B1" w14:textId="636FD699" w:rsidR="005679DF" w:rsidRPr="00784A52" w:rsidRDefault="005679DF" w:rsidP="00B13E72">
      <w:pPr>
        <w:pStyle w:val="NoSpacing"/>
        <w:jc w:val="both"/>
        <w:rPr>
          <w:rFonts w:ascii="Calibri" w:hAnsi="Calibri" w:cs="Calibri"/>
          <w:color w:val="000000"/>
          <w:szCs w:val="18"/>
        </w:rPr>
      </w:pPr>
      <w:r>
        <w:rPr>
          <w:rFonts w:ascii="Calibri" w:hAnsi="Calibri" w:cs="Calibri"/>
          <w:color w:val="000000"/>
          <w:szCs w:val="18"/>
        </w:rPr>
        <w:t xml:space="preserve">The residential split-system heat pump must have the minimum SEER and HSPF values and not be less than the values shown in Table C-3. </w:t>
      </w:r>
    </w:p>
    <w:p w14:paraId="65C35DDA" w14:textId="77777777" w:rsidR="005679DF" w:rsidRDefault="005679DF" w:rsidP="00B13E72">
      <w:pPr>
        <w:pStyle w:val="NoSpacing"/>
        <w:jc w:val="both"/>
      </w:pPr>
    </w:p>
    <w:p w14:paraId="12F44F3C" w14:textId="77777777" w:rsidR="005679DF" w:rsidRDefault="005679DF" w:rsidP="00E71F04">
      <w:pPr>
        <w:pStyle w:val="NoSpacing"/>
        <w:jc w:val="center"/>
      </w:pPr>
      <w:r>
        <w:rPr>
          <w:noProof/>
        </w:rPr>
        <w:drawing>
          <wp:inline distT="0" distB="0" distL="0" distR="0" wp14:anchorId="38D6EFEE" wp14:editId="43CBB2F9">
            <wp:extent cx="3845705" cy="3028493"/>
            <wp:effectExtent l="0" t="0" r="444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845705" cy="3028493"/>
                    </a:xfrm>
                    <a:prstGeom prst="rect">
                      <a:avLst/>
                    </a:prstGeom>
                  </pic:spPr>
                </pic:pic>
              </a:graphicData>
            </a:graphic>
          </wp:inline>
        </w:drawing>
      </w:r>
    </w:p>
    <w:p w14:paraId="5F601530" w14:textId="77777777" w:rsidR="005679DF" w:rsidRDefault="005679DF" w:rsidP="00B13E72">
      <w:pPr>
        <w:pStyle w:val="NoSpacing"/>
        <w:jc w:val="both"/>
        <w:rPr>
          <w:i/>
        </w:rPr>
      </w:pPr>
    </w:p>
    <w:p w14:paraId="0419CD06" w14:textId="3DE6051B" w:rsidR="005679DF" w:rsidRPr="00784A52" w:rsidRDefault="005679DF" w:rsidP="00B13E72">
      <w:pPr>
        <w:pStyle w:val="NoSpacing"/>
        <w:jc w:val="both"/>
        <w:rPr>
          <w:b/>
        </w:rPr>
      </w:pPr>
      <w:r w:rsidRPr="00784A52">
        <w:rPr>
          <w:b/>
        </w:rPr>
        <w:t>Title 24</w:t>
      </w:r>
      <w:r w:rsidR="00784A52">
        <w:rPr>
          <w:b/>
        </w:rPr>
        <w:t xml:space="preserve"> </w:t>
      </w:r>
      <w:r w:rsidR="00784A52" w:rsidRPr="00784A52">
        <w:rPr>
          <w:b/>
        </w:rPr>
        <w:t>Section</w:t>
      </w:r>
      <w:r w:rsidR="00784A52">
        <w:rPr>
          <w:b/>
        </w:rPr>
        <w:t xml:space="preserve"> 110.1 California State </w:t>
      </w:r>
      <w:r w:rsidRPr="00784A52">
        <w:rPr>
          <w:b/>
        </w:rPr>
        <w:t>Minimum Efficiency for Residential Split-System Heat Pump</w:t>
      </w:r>
    </w:p>
    <w:p w14:paraId="6CDB18F2" w14:textId="534820B1" w:rsidR="005679DF" w:rsidRDefault="005679DF" w:rsidP="00B13E72">
      <w:pPr>
        <w:pStyle w:val="NoSpacing"/>
        <w:jc w:val="both"/>
        <w:rPr>
          <w:rFonts w:ascii="Calibri" w:hAnsi="Calibri" w:cs="Calibri"/>
          <w:color w:val="000000"/>
          <w:szCs w:val="18"/>
        </w:rPr>
      </w:pPr>
      <w:r>
        <w:rPr>
          <w:rFonts w:ascii="Calibri" w:hAnsi="Calibri" w:cs="Calibri"/>
          <w:color w:val="000000"/>
          <w:szCs w:val="18"/>
        </w:rPr>
        <w:t xml:space="preserve">The residential split-system heat pump must have the minimum HSPF and SEER values and not be less than the values shown in Tables 4-3 and 4-6, respectively.  </w:t>
      </w:r>
    </w:p>
    <w:p w14:paraId="111B157F" w14:textId="77777777" w:rsidR="00E71F04" w:rsidRPr="00E71F04" w:rsidRDefault="00E71F04" w:rsidP="00B13E72">
      <w:pPr>
        <w:pStyle w:val="NoSpacing"/>
        <w:jc w:val="both"/>
        <w:rPr>
          <w:rFonts w:ascii="Calibri" w:hAnsi="Calibri" w:cs="Calibri"/>
          <w:color w:val="000000"/>
          <w:sz w:val="16"/>
          <w:szCs w:val="16"/>
        </w:rPr>
      </w:pPr>
    </w:p>
    <w:p w14:paraId="6D0EF9BE" w14:textId="77777777" w:rsidR="005679DF" w:rsidRDefault="005679DF" w:rsidP="00E71F04">
      <w:pPr>
        <w:autoSpaceDE w:val="0"/>
        <w:autoSpaceDN w:val="0"/>
        <w:adjustRightInd w:val="0"/>
        <w:spacing w:after="0" w:line="240" w:lineRule="auto"/>
        <w:jc w:val="center"/>
        <w:rPr>
          <w:rFonts w:ascii="Calibri" w:hAnsi="Calibri" w:cs="Calibri"/>
          <w:color w:val="000000"/>
          <w:szCs w:val="18"/>
        </w:rPr>
      </w:pPr>
      <w:r>
        <w:rPr>
          <w:rFonts w:ascii="Calibri" w:hAnsi="Calibri" w:cs="Calibri"/>
          <w:noProof/>
        </w:rPr>
        <w:lastRenderedPageBreak/>
        <w:drawing>
          <wp:inline distT="0" distB="0" distL="0" distR="0" wp14:anchorId="4F067C56" wp14:editId="3D9A9B5E">
            <wp:extent cx="2805588" cy="3189767"/>
            <wp:effectExtent l="0" t="0" r="0" b="0"/>
            <wp:docPr id="11" name="Picture 11" descr="4-3: Minimum Heating Efficiency for Heat Punps &#10;Equipment &#10;terminal heat &#10;(heat ng &#10;(heat ng &#10;Single-phase &#10;Sr surce heat &#10;Three-phase &#10;Sr surce heat &#10;Water-source &#10;heat pumps &#10;Single &#10;package &#10;vertical heat &#10;110.2E &#10;110.2E &#10;Table C-3 &#10;Table C-4 &#10;Table C-S &#10;Table C-S &#10;NeWy ccnsyucted or newt,' &#10;conditioned buldings or &#10;&lt; &quot;000 BtWt-,r coolirg &#10;Space constrained &#10;&lt; &quot;000 atwt-,r ccolirg &#10;Smal chict, high velocity &#10;&lt; 65,000 atwt-,r cmlirg &#10;&lt; 65000 atun-,r &#10;as and oco &#10;13s and 040 oco &#10;240 and 060 oco &#10;265000 and &lt; 135,000 &#10;240,000 &#10;&lt; 65 coo &#10;e. 85,000 3-Phase &#10;265000 and &lt; 135,000 &#10;2 1 000 and&lt;240000 &#10;Milimum æating &#10;37-(0.052 x &#10;cap','1000) = cop &#10;29-(0.026 x capl,'1000) = cop &#10;Packaged 8.0 HSPF &#10;it 82 HSPF &#10;7.4 HSPF &#10;7.2 HSPF &#10;7.7 HSPF &#10;33 cop &#10;4.2 cop &#10;3.9 cop &#10;3.0 cop &#10;30 cop &#10;3.0 cop &#10;cop &#10;ApWim Title 2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4-3: Minimum Heating Efficiency for Heat Punps &#10;Equipment &#10;terminal heat &#10;(heat ng &#10;(heat ng &#10;Single-phase &#10;Sr surce heat &#10;Three-phase &#10;Sr surce heat &#10;Water-source &#10;heat pumps &#10;Single &#10;package &#10;vertical heat &#10;110.2E &#10;110.2E &#10;Table C-3 &#10;Table C-4 &#10;Table C-S &#10;Table C-S &#10;NeWy ccnsyucted or newt,' &#10;conditioned buldings or &#10;&lt; &quot;000 BtWt-,r coolirg &#10;Space constrained &#10;&lt; &quot;000 atwt-,r ccolirg &#10;Smal chict, high velocity &#10;&lt; 65,000 atwt-,r cmlirg &#10;&lt; 65000 atun-,r &#10;as and oco &#10;13s and 040 oco &#10;240 and 060 oco &#10;265000 and &lt; 135,000 &#10;240,000 &#10;&lt; 65 coo &#10;e. 85,000 3-Phase &#10;265000 and &lt; 135,000 &#10;2 1 000 and&lt;240000 &#10;Milimum æating &#10;37-(0.052 x &#10;cap','1000) = cop &#10;29-(0.026 x capl,'1000) = cop &#10;Packaged 8.0 HSPF &#10;it 82 HSPF &#10;7.4 HSPF &#10;7.2 HSPF &#10;7.7 HSPF &#10;33 cop &#10;4.2 cop &#10;3.9 cop &#10;3.0 cop &#10;30 cop &#10;3.0 cop &#10;cop &#10;ApWim Title 20 "/>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61012" cy="3252781"/>
                    </a:xfrm>
                    <a:prstGeom prst="rect">
                      <a:avLst/>
                    </a:prstGeom>
                    <a:noFill/>
                    <a:ln>
                      <a:noFill/>
                    </a:ln>
                  </pic:spPr>
                </pic:pic>
              </a:graphicData>
            </a:graphic>
          </wp:inline>
        </w:drawing>
      </w:r>
    </w:p>
    <w:p w14:paraId="728FE9A7" w14:textId="77777777" w:rsidR="005679DF" w:rsidRDefault="005679DF" w:rsidP="00B13E72">
      <w:pPr>
        <w:autoSpaceDE w:val="0"/>
        <w:autoSpaceDN w:val="0"/>
        <w:adjustRightInd w:val="0"/>
        <w:spacing w:after="0" w:line="240" w:lineRule="auto"/>
        <w:jc w:val="both"/>
        <w:rPr>
          <w:rFonts w:ascii="Calibri" w:hAnsi="Calibri" w:cs="Calibri"/>
          <w:color w:val="000000"/>
          <w:szCs w:val="18"/>
        </w:rPr>
      </w:pPr>
    </w:p>
    <w:p w14:paraId="1603A0C9" w14:textId="77777777" w:rsidR="005679DF" w:rsidRDefault="005679DF" w:rsidP="00E71F04">
      <w:pPr>
        <w:autoSpaceDE w:val="0"/>
        <w:autoSpaceDN w:val="0"/>
        <w:adjustRightInd w:val="0"/>
        <w:spacing w:after="0" w:line="240" w:lineRule="auto"/>
        <w:jc w:val="center"/>
      </w:pPr>
      <w:r>
        <w:rPr>
          <w:rFonts w:ascii="Calibri" w:hAnsi="Calibri" w:cs="Calibri"/>
          <w:noProof/>
        </w:rPr>
        <w:drawing>
          <wp:inline distT="0" distB="0" distL="0" distR="0" wp14:anchorId="1D774F2F" wp14:editId="2D7CE140">
            <wp:extent cx="4540102" cy="2757600"/>
            <wp:effectExtent l="0" t="0" r="0" b="5080"/>
            <wp:docPr id="17" name="Picture 17" descr="Table 4-6: Minimum Cooling Efficiencies for Central Air Conditioners and Heat Punps &#10;(Cooling Capacity Less Than 65,000 Btumour) &#10;Appliance &#10;A r æat &#10;Air &#10;H i gFr &#10;Air &#10;H i gre &#10;(NR = No Requirement) &#10;Type &#10;45. oco Btu, &#10;245, ooc &#10;Siro Pukage &#10;Siro P &#10;Ti6e 20 Tau ( VEC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able 4-6: Minimum Cooling Efficiencies for Central Air Conditioners and Heat Punps &#10;(Cooling Capacity Less Than 65,000 Btumour) &#10;Appliance &#10;A r æat &#10;Air &#10;H i gFr &#10;Air &#10;H i gre &#10;(NR = No Requirement) &#10;Type &#10;45. oco Btu, &#10;245, ooc &#10;Siro Pukage &#10;Siro P &#10;Ti6e 20 Tau ( VECA) "/>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83488" cy="2783952"/>
                    </a:xfrm>
                    <a:prstGeom prst="rect">
                      <a:avLst/>
                    </a:prstGeom>
                    <a:noFill/>
                    <a:ln>
                      <a:noFill/>
                    </a:ln>
                  </pic:spPr>
                </pic:pic>
              </a:graphicData>
            </a:graphic>
          </wp:inline>
        </w:drawing>
      </w:r>
    </w:p>
    <w:p w14:paraId="243BEEE7" w14:textId="77777777" w:rsidR="005679DF" w:rsidRPr="00103DA7" w:rsidRDefault="005679DF" w:rsidP="00B13E72">
      <w:pPr>
        <w:autoSpaceDE w:val="0"/>
        <w:autoSpaceDN w:val="0"/>
        <w:adjustRightInd w:val="0"/>
        <w:spacing w:after="0" w:line="240" w:lineRule="auto"/>
        <w:jc w:val="both"/>
      </w:pPr>
    </w:p>
    <w:p w14:paraId="2A48CA05" w14:textId="5C3C6CEB" w:rsidR="005679DF" w:rsidRPr="00784A52" w:rsidRDefault="005679DF" w:rsidP="00B13E72">
      <w:pPr>
        <w:pStyle w:val="NoSpacing"/>
        <w:jc w:val="both"/>
        <w:rPr>
          <w:b/>
        </w:rPr>
      </w:pPr>
      <w:r w:rsidRPr="00784A52">
        <w:rPr>
          <w:b/>
        </w:rPr>
        <w:t>Code of Federal Regulations</w:t>
      </w:r>
      <w:r w:rsidR="00784A52">
        <w:rPr>
          <w:b/>
        </w:rPr>
        <w:t xml:space="preserve"> </w:t>
      </w:r>
      <w:r w:rsidR="00784A52" w:rsidRPr="00036074">
        <w:rPr>
          <w:b/>
          <w:szCs w:val="20"/>
        </w:rPr>
        <w:t>§ 430.2</w:t>
      </w:r>
      <w:r w:rsidR="00784A52">
        <w:rPr>
          <w:b/>
          <w:szCs w:val="20"/>
        </w:rPr>
        <w:t>(c)(1)</w:t>
      </w:r>
      <w:r w:rsidR="00784A52">
        <w:rPr>
          <w:b/>
        </w:rPr>
        <w:t xml:space="preserve"> and </w:t>
      </w:r>
      <w:r w:rsidR="00784A52" w:rsidRPr="00036074">
        <w:rPr>
          <w:b/>
          <w:szCs w:val="20"/>
        </w:rPr>
        <w:t>§ 430.2</w:t>
      </w:r>
      <w:r w:rsidR="00784A52">
        <w:rPr>
          <w:b/>
          <w:szCs w:val="20"/>
        </w:rPr>
        <w:t>(c)(5)</w:t>
      </w:r>
      <w:r w:rsidR="00784A52">
        <w:rPr>
          <w:b/>
        </w:rPr>
        <w:t xml:space="preserve"> </w:t>
      </w:r>
      <w:r w:rsidRPr="00784A52">
        <w:rPr>
          <w:b/>
        </w:rPr>
        <w:t>Minimum Efficiency for Residential Split-System Heat Pump</w:t>
      </w:r>
    </w:p>
    <w:p w14:paraId="152A265A" w14:textId="67A36885" w:rsidR="005679DF" w:rsidRDefault="00784A52" w:rsidP="00E71F04">
      <w:pPr>
        <w:pStyle w:val="NoSpacing"/>
        <w:jc w:val="both"/>
        <w:rPr>
          <w:rFonts w:ascii="Calibri" w:hAnsi="Calibri" w:cs="Calibri"/>
          <w:color w:val="000000"/>
          <w:szCs w:val="18"/>
        </w:rPr>
      </w:pPr>
      <w:r>
        <w:rPr>
          <w:rFonts w:ascii="Calibri" w:hAnsi="Calibri" w:cs="Calibri"/>
          <w:color w:val="000000"/>
          <w:szCs w:val="18"/>
        </w:rPr>
        <w:t>(430.2)(c)(1) The</w:t>
      </w:r>
      <w:r w:rsidR="005679DF">
        <w:rPr>
          <w:rFonts w:ascii="Calibri" w:hAnsi="Calibri" w:cs="Calibri"/>
          <w:color w:val="000000"/>
          <w:szCs w:val="18"/>
        </w:rPr>
        <w:t xml:space="preserve"> minimum HSPF and SEER values of a residential split-system heat pump manufactured on or after January 1, 2015 and before January 1, 2023 is equivalent to the values mentioned in Title 20 and Title 24.</w:t>
      </w:r>
    </w:p>
    <w:p w14:paraId="02ED97CD" w14:textId="77777777" w:rsidR="00E71F04" w:rsidRDefault="00E71F04" w:rsidP="00E71F04">
      <w:pPr>
        <w:pStyle w:val="NoSpacing"/>
        <w:jc w:val="both"/>
        <w:rPr>
          <w:rFonts w:ascii="Calibri" w:hAnsi="Calibri" w:cs="Calibri"/>
          <w:color w:val="000000"/>
          <w:szCs w:val="18"/>
        </w:rPr>
      </w:pPr>
    </w:p>
    <w:p w14:paraId="0D0DFFAC" w14:textId="77777777" w:rsidR="005679DF" w:rsidRDefault="005679DF" w:rsidP="00B13E72">
      <w:pPr>
        <w:autoSpaceDE w:val="0"/>
        <w:autoSpaceDN w:val="0"/>
        <w:adjustRightInd w:val="0"/>
        <w:spacing w:after="0" w:line="240" w:lineRule="auto"/>
        <w:jc w:val="both"/>
        <w:rPr>
          <w:rFonts w:ascii="Calibri" w:hAnsi="Calibri" w:cs="Calibri"/>
          <w:color w:val="000000"/>
          <w:szCs w:val="18"/>
        </w:rPr>
      </w:pPr>
      <w:r>
        <w:rPr>
          <w:rFonts w:ascii="Calibri" w:hAnsi="Calibri" w:cs="Calibri"/>
          <w:color w:val="000000"/>
          <w:szCs w:val="18"/>
        </w:rPr>
        <w:t xml:space="preserve">(430.2)(c)(5) For split-system heat pumps manufactured on or after January 1, 2023, the HSPF and SEER values must not be less than the values shown in the table below. </w:t>
      </w:r>
    </w:p>
    <w:p w14:paraId="6D162D11" w14:textId="77777777" w:rsidR="005679DF" w:rsidRDefault="005679DF" w:rsidP="00B13E72">
      <w:pPr>
        <w:autoSpaceDE w:val="0"/>
        <w:autoSpaceDN w:val="0"/>
        <w:adjustRightInd w:val="0"/>
        <w:spacing w:after="0" w:line="240" w:lineRule="auto"/>
        <w:jc w:val="both"/>
      </w:pPr>
    </w:p>
    <w:p w14:paraId="06CBDF3D" w14:textId="77777777" w:rsidR="005679DF" w:rsidRDefault="005679DF" w:rsidP="00B13E72">
      <w:pPr>
        <w:autoSpaceDE w:val="0"/>
        <w:autoSpaceDN w:val="0"/>
        <w:adjustRightInd w:val="0"/>
        <w:spacing w:after="0" w:line="240" w:lineRule="auto"/>
        <w:jc w:val="both"/>
      </w:pPr>
      <w:r>
        <w:rPr>
          <w:noProof/>
        </w:rPr>
        <w:drawing>
          <wp:inline distT="0" distB="0" distL="0" distR="0" wp14:anchorId="0C5ED369" wp14:editId="2CE117F8">
            <wp:extent cx="5559552" cy="2426958"/>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66928" cy="2430178"/>
                    </a:xfrm>
                    <a:prstGeom prst="rect">
                      <a:avLst/>
                    </a:prstGeom>
                  </pic:spPr>
                </pic:pic>
              </a:graphicData>
            </a:graphic>
          </wp:inline>
        </w:drawing>
      </w:r>
    </w:p>
    <w:p w14:paraId="25B713EF" w14:textId="39E3EA64" w:rsidR="00327C23" w:rsidRDefault="00327C23" w:rsidP="00B13E72">
      <w:pPr>
        <w:tabs>
          <w:tab w:val="left" w:pos="1359"/>
        </w:tabs>
        <w:jc w:val="both"/>
        <w:rPr>
          <w:rFonts w:cs="Calibri Light"/>
        </w:rPr>
      </w:pPr>
    </w:p>
    <w:p w14:paraId="18B1B835" w14:textId="30AB8F21" w:rsidR="00375BD8" w:rsidRPr="00C6243E" w:rsidRDefault="004B3476" w:rsidP="00B13E72">
      <w:pPr>
        <w:pStyle w:val="eTRMHeading3"/>
        <w:jc w:val="both"/>
        <w:rPr>
          <w:rFonts w:cs="Calibri Light"/>
        </w:rPr>
      </w:pPr>
      <w:bookmarkStart w:id="20" w:name="_Toc64561060"/>
      <w:r w:rsidRPr="00C6243E">
        <w:rPr>
          <w:rFonts w:cs="Calibri Light"/>
        </w:rPr>
        <w:t xml:space="preserve">Normalizing </w:t>
      </w:r>
      <w:r w:rsidR="00375BD8" w:rsidRPr="00C6243E">
        <w:rPr>
          <w:rFonts w:cs="Calibri Light"/>
        </w:rPr>
        <w:t>Unit</w:t>
      </w:r>
      <w:bookmarkEnd w:id="18"/>
      <w:bookmarkEnd w:id="19"/>
      <w:bookmarkEnd w:id="20"/>
    </w:p>
    <w:p w14:paraId="6EA17E25" w14:textId="0B45F60B" w:rsidR="00D50F3D" w:rsidRDefault="00517F44" w:rsidP="00B13E72">
      <w:pPr>
        <w:jc w:val="both"/>
        <w:rPr>
          <w:rFonts w:cs="Calibri Light"/>
        </w:rPr>
      </w:pPr>
      <w:r>
        <w:rPr>
          <w:rFonts w:cs="Calibri Light"/>
        </w:rPr>
        <w:t>Capacity (</w:t>
      </w:r>
      <w:r w:rsidR="00783527">
        <w:rPr>
          <w:rFonts w:cs="Calibri Light"/>
        </w:rPr>
        <w:t xml:space="preserve">Cooling </w:t>
      </w:r>
      <w:r>
        <w:rPr>
          <w:rFonts w:cs="Calibri Light"/>
        </w:rPr>
        <w:t>Tons)</w:t>
      </w:r>
    </w:p>
    <w:p w14:paraId="1024CD56" w14:textId="77777777" w:rsidR="00517F44" w:rsidRPr="00C6243E" w:rsidRDefault="00517F44" w:rsidP="00517F44"/>
    <w:p w14:paraId="7324E22F" w14:textId="62DA38A7" w:rsidR="00194249" w:rsidRDefault="00375BD8" w:rsidP="00517F44">
      <w:pPr>
        <w:pStyle w:val="eTRMHeading3"/>
        <w:jc w:val="both"/>
        <w:rPr>
          <w:rFonts w:cs="Calibri Light"/>
        </w:rPr>
      </w:pPr>
      <w:bookmarkStart w:id="21" w:name="_Toc486490852"/>
      <w:bookmarkStart w:id="22" w:name="_Toc486580923"/>
      <w:bookmarkStart w:id="23" w:name="_Toc64561061"/>
      <w:bookmarkStart w:id="24" w:name="_Hlk515365299"/>
      <w:bookmarkStart w:id="25" w:name="_Hlk515878271"/>
      <w:r w:rsidRPr="00C6243E">
        <w:rPr>
          <w:rFonts w:cs="Calibri Light"/>
        </w:rPr>
        <w:t>Program Requirements</w:t>
      </w:r>
      <w:bookmarkEnd w:id="21"/>
      <w:bookmarkEnd w:id="22"/>
      <w:bookmarkEnd w:id="23"/>
      <w:r w:rsidRPr="00C6243E">
        <w:rPr>
          <w:rFonts w:cs="Calibri Light"/>
        </w:rPr>
        <w:t xml:space="preserve"> </w:t>
      </w:r>
      <w:bookmarkStart w:id="26" w:name="_Hlk516047641"/>
    </w:p>
    <w:p w14:paraId="19CEDC99" w14:textId="77777777" w:rsidR="00F236D3" w:rsidRPr="00F236D3" w:rsidRDefault="00F236D3" w:rsidP="00F236D3">
      <w:pPr>
        <w:pStyle w:val="eTRMHeading5"/>
        <w:keepNext/>
      </w:pPr>
      <w:r w:rsidRPr="00F236D3">
        <w:t>Fuel Substitution Test</w:t>
      </w:r>
    </w:p>
    <w:p w14:paraId="29F43CD7" w14:textId="04FE282E" w:rsidR="00F236D3" w:rsidRPr="00F236D3" w:rsidRDefault="00F236D3" w:rsidP="0002472B">
      <w:pPr>
        <w:pStyle w:val="xetrmbulletedtext"/>
        <w:ind w:left="0" w:firstLine="0"/>
        <w:jc w:val="both"/>
      </w:pPr>
      <w:r w:rsidRPr="00F236D3">
        <w:t>Per CPUC Decision 19-08-009 Rulemaking 13-11-005 “Decision Modifying the Energy Efficiency Three-Prong Test Related to Fuel Substitution”, for all fuel substitution measures, the measure must ‘not increase total source energy consumption when compared with the baseline comparison measure available utilizing the original fuel’.</w:t>
      </w:r>
      <w:r w:rsidRPr="00F236D3">
        <w:rPr>
          <w:rStyle w:val="FootnoteReference"/>
        </w:rPr>
        <w:t xml:space="preserve"> </w:t>
      </w:r>
      <w:r w:rsidRPr="00F236D3">
        <w:rPr>
          <w:rStyle w:val="FootnoteReference"/>
        </w:rPr>
        <w:footnoteReference w:id="4"/>
      </w:r>
      <w:r w:rsidRPr="00F236D3">
        <w:t xml:space="preserve"> Also, the measure ‘must not adversely impact the environment compared to the baseline measure utilizing the original fuel</w:t>
      </w:r>
      <w:r w:rsidR="001048F9">
        <w:t>’</w:t>
      </w:r>
      <w:r w:rsidRPr="00F236D3">
        <w:t>. Fuel substitution calculations were conducted using CPUC’s “Fuel Substitution Calculator” to confirm the measures in this workpaper pass Parts One and Two of the Fuel Substitution Test</w:t>
      </w:r>
      <w:r w:rsidRPr="00E51366">
        <w:rPr>
          <w:rStyle w:val="FootnoteReference"/>
          <w:bCs/>
          <w:sz w:val="20"/>
        </w:rPr>
        <w:footnoteReference w:id="5"/>
      </w:r>
      <w:r w:rsidRPr="00F236D3">
        <w:t>.</w:t>
      </w:r>
      <w:r>
        <w:t xml:space="preserve"> </w:t>
      </w:r>
      <w:r w:rsidR="001B1861">
        <w:t xml:space="preserve"> </w:t>
      </w:r>
    </w:p>
    <w:p w14:paraId="2B2DC748" w14:textId="77777777" w:rsidR="00F236D3" w:rsidRDefault="00F236D3" w:rsidP="00B13E72">
      <w:pPr>
        <w:pStyle w:val="eTRMHeading5"/>
        <w:keepNext/>
        <w:keepLines/>
        <w:jc w:val="both"/>
        <w:rPr>
          <w:rFonts w:cs="Calibri Light"/>
        </w:rPr>
      </w:pPr>
    </w:p>
    <w:p w14:paraId="36790B1B" w14:textId="58C225B7" w:rsidR="00375BD8" w:rsidRPr="00C6243E" w:rsidRDefault="00375BD8" w:rsidP="00B13E72">
      <w:pPr>
        <w:pStyle w:val="eTRMHeading5"/>
        <w:keepNext/>
        <w:keepLines/>
        <w:jc w:val="both"/>
        <w:rPr>
          <w:rFonts w:cs="Calibri Light"/>
        </w:rPr>
      </w:pPr>
      <w:r w:rsidRPr="00C6243E">
        <w:rPr>
          <w:rFonts w:cs="Calibri Light"/>
        </w:rPr>
        <w:t>Measure Implementation Eligibility</w:t>
      </w:r>
    </w:p>
    <w:bookmarkEnd w:id="24"/>
    <w:p w14:paraId="5CABDAE8" w14:textId="77777777" w:rsidR="00375BD8" w:rsidRPr="00C6243E" w:rsidRDefault="00375BD8" w:rsidP="00B13E72">
      <w:pPr>
        <w:keepNext/>
        <w:keepLines/>
        <w:jc w:val="both"/>
        <w:rPr>
          <w:rFonts w:cs="Calibri Light"/>
        </w:rPr>
      </w:pPr>
      <w:r w:rsidRPr="00C6243E">
        <w:rPr>
          <w:rFonts w:cs="Calibri Light"/>
        </w:rPr>
        <w:t>All measure application type, delivery type, and sector combinations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47F9D6CA" w14:textId="68A2E118" w:rsidR="00375BD8" w:rsidRPr="00C6243E" w:rsidRDefault="004B3476" w:rsidP="00E20381">
      <w:pPr>
        <w:pStyle w:val="Caption"/>
      </w:pPr>
      <w:r w:rsidRPr="000B233C">
        <w:t xml:space="preserve">Implementation </w:t>
      </w:r>
      <w:r w:rsidR="00375BD8" w:rsidRPr="000B233C">
        <w:t>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375BD8" w:rsidRPr="00C6243E" w14:paraId="2F4E90DA" w14:textId="77777777" w:rsidTr="00375BD8">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56B1DB6C" w14:textId="77777777" w:rsidR="00375BD8" w:rsidRPr="00C6243E" w:rsidRDefault="00375BD8" w:rsidP="00E71F04">
            <w:pPr>
              <w:keepNext/>
              <w:spacing w:before="0" w:after="0"/>
              <w:rPr>
                <w:rFonts w:cs="Calibri Light"/>
                <w:b/>
                <w:bCs/>
                <w:sz w:val="20"/>
              </w:rPr>
            </w:pPr>
            <w:r w:rsidRPr="00C6243E">
              <w:rPr>
                <w:rFonts w:cs="Calibri Light"/>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003BA87D" w14:textId="77777777" w:rsidR="00375BD8" w:rsidRPr="00C6243E" w:rsidRDefault="00375BD8" w:rsidP="00E71F04">
            <w:pPr>
              <w:keepNext/>
              <w:spacing w:before="0" w:after="0"/>
              <w:rPr>
                <w:rFonts w:cs="Calibri Light"/>
                <w:b/>
                <w:bCs/>
                <w:sz w:val="20"/>
              </w:rPr>
            </w:pPr>
            <w:r w:rsidRPr="00C6243E">
              <w:rPr>
                <w:rFonts w:cs="Calibri Light"/>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BBB6641" w14:textId="77777777" w:rsidR="00375BD8" w:rsidRPr="00C6243E" w:rsidRDefault="00375BD8" w:rsidP="00E71F04">
            <w:pPr>
              <w:keepNext/>
              <w:spacing w:before="0" w:after="0"/>
              <w:rPr>
                <w:rFonts w:cs="Calibri Light"/>
                <w:b/>
                <w:bCs/>
                <w:sz w:val="20"/>
              </w:rPr>
            </w:pPr>
            <w:r w:rsidRPr="00C6243E">
              <w:rPr>
                <w:rFonts w:cs="Calibri Light"/>
                <w:b/>
                <w:bCs/>
                <w:sz w:val="20"/>
              </w:rPr>
              <w:t>Sector</w:t>
            </w:r>
          </w:p>
        </w:tc>
      </w:tr>
      <w:tr w:rsidR="000B233C" w:rsidRPr="00C6243E" w14:paraId="44736DE0" w14:textId="77777777" w:rsidTr="00742A1C">
        <w:trPr>
          <w:trHeight w:val="290"/>
        </w:trPr>
        <w:tc>
          <w:tcPr>
            <w:tcW w:w="3024" w:type="dxa"/>
            <w:noWrap/>
            <w:tcMar>
              <w:top w:w="0" w:type="dxa"/>
              <w:left w:w="108" w:type="dxa"/>
              <w:bottom w:w="0" w:type="dxa"/>
              <w:right w:w="108" w:type="dxa"/>
            </w:tcMar>
          </w:tcPr>
          <w:p w14:paraId="7417B6C0" w14:textId="272426ED" w:rsidR="000B233C" w:rsidRPr="00C6243E" w:rsidRDefault="000B233C" w:rsidP="00B13E72">
            <w:pPr>
              <w:keepNext/>
              <w:spacing w:before="0" w:after="0"/>
              <w:jc w:val="both"/>
              <w:rPr>
                <w:rFonts w:cs="Calibri Light"/>
                <w:color w:val="000000"/>
                <w:sz w:val="20"/>
              </w:rPr>
            </w:pPr>
            <w:r w:rsidRPr="00964589">
              <w:rPr>
                <w:sz w:val="18"/>
              </w:rPr>
              <w:t>Normal replacement</w:t>
            </w:r>
          </w:p>
        </w:tc>
        <w:tc>
          <w:tcPr>
            <w:tcW w:w="3024" w:type="dxa"/>
            <w:noWrap/>
            <w:tcMar>
              <w:top w:w="0" w:type="dxa"/>
              <w:left w:w="108" w:type="dxa"/>
              <w:bottom w:w="0" w:type="dxa"/>
              <w:right w:w="108" w:type="dxa"/>
            </w:tcMar>
          </w:tcPr>
          <w:p w14:paraId="4CCAE437" w14:textId="30F606A0" w:rsidR="000B233C" w:rsidRPr="00C6243E" w:rsidRDefault="000B233C" w:rsidP="00B13E72">
            <w:pPr>
              <w:keepNext/>
              <w:spacing w:before="0" w:after="0"/>
              <w:jc w:val="both"/>
              <w:rPr>
                <w:rFonts w:cs="Calibri Light"/>
                <w:color w:val="000000"/>
                <w:sz w:val="20"/>
              </w:rPr>
            </w:pPr>
            <w:r w:rsidRPr="00964589">
              <w:rPr>
                <w:sz w:val="18"/>
              </w:rPr>
              <w:t>DnDeemed</w:t>
            </w:r>
          </w:p>
        </w:tc>
        <w:tc>
          <w:tcPr>
            <w:tcW w:w="3024" w:type="dxa"/>
            <w:noWrap/>
            <w:tcMar>
              <w:top w:w="0" w:type="dxa"/>
              <w:left w:w="108" w:type="dxa"/>
              <w:bottom w:w="0" w:type="dxa"/>
              <w:right w:w="108" w:type="dxa"/>
            </w:tcMar>
          </w:tcPr>
          <w:p w14:paraId="1EA1E8F9" w14:textId="6968E843" w:rsidR="000B233C" w:rsidRPr="00C6243E" w:rsidRDefault="000B233C" w:rsidP="00B13E72">
            <w:pPr>
              <w:keepNext/>
              <w:spacing w:before="0" w:after="0"/>
              <w:jc w:val="both"/>
              <w:rPr>
                <w:rFonts w:cs="Calibri Light"/>
                <w:color w:val="000000"/>
                <w:sz w:val="20"/>
              </w:rPr>
            </w:pPr>
            <w:r w:rsidRPr="00964589">
              <w:rPr>
                <w:sz w:val="18"/>
              </w:rPr>
              <w:t>Res</w:t>
            </w:r>
          </w:p>
        </w:tc>
      </w:tr>
      <w:tr w:rsidR="000B233C" w:rsidRPr="00C6243E" w14:paraId="7DFF8FF8" w14:textId="77777777" w:rsidTr="00742A1C">
        <w:trPr>
          <w:trHeight w:val="290"/>
        </w:trPr>
        <w:tc>
          <w:tcPr>
            <w:tcW w:w="3024" w:type="dxa"/>
            <w:noWrap/>
            <w:tcMar>
              <w:top w:w="0" w:type="dxa"/>
              <w:left w:w="108" w:type="dxa"/>
              <w:bottom w:w="0" w:type="dxa"/>
              <w:right w:w="108" w:type="dxa"/>
            </w:tcMar>
          </w:tcPr>
          <w:p w14:paraId="1B4B06EA" w14:textId="78A33EC2" w:rsidR="000B233C" w:rsidRPr="00C6243E" w:rsidRDefault="000B233C" w:rsidP="00B13E72">
            <w:pPr>
              <w:keepNext/>
              <w:spacing w:before="0" w:after="0"/>
              <w:jc w:val="both"/>
              <w:rPr>
                <w:rFonts w:cs="Calibri Light"/>
                <w:color w:val="000000"/>
                <w:sz w:val="20"/>
              </w:rPr>
            </w:pPr>
            <w:r w:rsidRPr="00964589">
              <w:rPr>
                <w:sz w:val="18"/>
              </w:rPr>
              <w:t>Normal replacement</w:t>
            </w:r>
          </w:p>
        </w:tc>
        <w:tc>
          <w:tcPr>
            <w:tcW w:w="3024" w:type="dxa"/>
            <w:noWrap/>
            <w:tcMar>
              <w:top w:w="0" w:type="dxa"/>
              <w:left w:w="108" w:type="dxa"/>
              <w:bottom w:w="0" w:type="dxa"/>
              <w:right w:w="108" w:type="dxa"/>
            </w:tcMar>
          </w:tcPr>
          <w:p w14:paraId="2854FF00" w14:textId="29AB9250" w:rsidR="000B233C" w:rsidRPr="00C6243E" w:rsidRDefault="000B233C" w:rsidP="00B13E72">
            <w:pPr>
              <w:keepNext/>
              <w:spacing w:before="0" w:after="0"/>
              <w:jc w:val="both"/>
              <w:rPr>
                <w:rFonts w:cs="Calibri Light"/>
                <w:color w:val="000000"/>
                <w:sz w:val="20"/>
              </w:rPr>
            </w:pPr>
            <w:r w:rsidRPr="00964589">
              <w:rPr>
                <w:sz w:val="18"/>
              </w:rPr>
              <w:t>DnDeemDI</w:t>
            </w:r>
          </w:p>
        </w:tc>
        <w:tc>
          <w:tcPr>
            <w:tcW w:w="3024" w:type="dxa"/>
            <w:noWrap/>
            <w:tcMar>
              <w:top w:w="0" w:type="dxa"/>
              <w:left w:w="108" w:type="dxa"/>
              <w:bottom w:w="0" w:type="dxa"/>
              <w:right w:w="108" w:type="dxa"/>
            </w:tcMar>
          </w:tcPr>
          <w:p w14:paraId="5FC75B1F" w14:textId="3618C807" w:rsidR="000B233C" w:rsidRPr="00C6243E" w:rsidRDefault="000B233C" w:rsidP="00B13E72">
            <w:pPr>
              <w:keepNext/>
              <w:spacing w:before="0" w:after="0"/>
              <w:jc w:val="both"/>
              <w:rPr>
                <w:rFonts w:cs="Calibri Light"/>
                <w:color w:val="000000"/>
                <w:sz w:val="20"/>
              </w:rPr>
            </w:pPr>
            <w:r w:rsidRPr="00964589">
              <w:rPr>
                <w:sz w:val="18"/>
              </w:rPr>
              <w:t>Res</w:t>
            </w:r>
          </w:p>
        </w:tc>
      </w:tr>
      <w:tr w:rsidR="000B233C" w:rsidRPr="00C6243E" w14:paraId="245F3A0B" w14:textId="77777777" w:rsidTr="00742A1C">
        <w:trPr>
          <w:trHeight w:val="290"/>
        </w:trPr>
        <w:tc>
          <w:tcPr>
            <w:tcW w:w="3024" w:type="dxa"/>
            <w:noWrap/>
            <w:tcMar>
              <w:top w:w="0" w:type="dxa"/>
              <w:left w:w="108" w:type="dxa"/>
              <w:bottom w:w="0" w:type="dxa"/>
              <w:right w:w="108" w:type="dxa"/>
            </w:tcMar>
          </w:tcPr>
          <w:p w14:paraId="504329E2" w14:textId="6FBE7A86" w:rsidR="000B233C" w:rsidRPr="00C6243E" w:rsidRDefault="000B233C" w:rsidP="00B13E72">
            <w:pPr>
              <w:keepNext/>
              <w:spacing w:before="0" w:after="0"/>
              <w:jc w:val="both"/>
              <w:rPr>
                <w:rFonts w:cs="Calibri Light"/>
                <w:color w:val="000000"/>
                <w:sz w:val="20"/>
              </w:rPr>
            </w:pPr>
            <w:r w:rsidRPr="00964589">
              <w:rPr>
                <w:sz w:val="18"/>
              </w:rPr>
              <w:t>Normal replacement</w:t>
            </w:r>
          </w:p>
        </w:tc>
        <w:tc>
          <w:tcPr>
            <w:tcW w:w="3024" w:type="dxa"/>
            <w:noWrap/>
            <w:tcMar>
              <w:top w:w="0" w:type="dxa"/>
              <w:left w:w="108" w:type="dxa"/>
              <w:bottom w:w="0" w:type="dxa"/>
              <w:right w:w="108" w:type="dxa"/>
            </w:tcMar>
          </w:tcPr>
          <w:p w14:paraId="3BAAA8A1" w14:textId="796F598B" w:rsidR="000B233C" w:rsidRPr="00C6243E" w:rsidRDefault="000B233C" w:rsidP="00B13E72">
            <w:pPr>
              <w:keepNext/>
              <w:spacing w:before="0" w:after="0"/>
              <w:jc w:val="both"/>
              <w:rPr>
                <w:rFonts w:cs="Calibri Light"/>
                <w:color w:val="000000"/>
                <w:sz w:val="20"/>
              </w:rPr>
            </w:pPr>
            <w:r w:rsidRPr="00964589">
              <w:rPr>
                <w:sz w:val="18"/>
              </w:rPr>
              <w:t>UpDeemed</w:t>
            </w:r>
          </w:p>
        </w:tc>
        <w:tc>
          <w:tcPr>
            <w:tcW w:w="3024" w:type="dxa"/>
            <w:noWrap/>
            <w:tcMar>
              <w:top w:w="0" w:type="dxa"/>
              <w:left w:w="108" w:type="dxa"/>
              <w:bottom w:w="0" w:type="dxa"/>
              <w:right w:w="108" w:type="dxa"/>
            </w:tcMar>
          </w:tcPr>
          <w:p w14:paraId="1D14070D" w14:textId="3FCB14DE" w:rsidR="000B233C" w:rsidRPr="00C6243E" w:rsidRDefault="000B233C" w:rsidP="00B13E72">
            <w:pPr>
              <w:keepNext/>
              <w:spacing w:before="0" w:after="0"/>
              <w:jc w:val="both"/>
              <w:rPr>
                <w:rFonts w:cs="Calibri Light"/>
                <w:color w:val="000000"/>
                <w:sz w:val="20"/>
              </w:rPr>
            </w:pPr>
            <w:r w:rsidRPr="00964589">
              <w:rPr>
                <w:sz w:val="18"/>
              </w:rPr>
              <w:t>Res</w:t>
            </w:r>
          </w:p>
        </w:tc>
      </w:tr>
      <w:tr w:rsidR="00D37680" w:rsidRPr="00C6243E" w14:paraId="638EF1F5" w14:textId="77777777" w:rsidTr="00742A1C">
        <w:trPr>
          <w:trHeight w:val="290"/>
        </w:trPr>
        <w:tc>
          <w:tcPr>
            <w:tcW w:w="3024" w:type="dxa"/>
            <w:noWrap/>
            <w:tcMar>
              <w:top w:w="0" w:type="dxa"/>
              <w:left w:w="108" w:type="dxa"/>
              <w:bottom w:w="0" w:type="dxa"/>
              <w:right w:w="108" w:type="dxa"/>
            </w:tcMar>
          </w:tcPr>
          <w:p w14:paraId="04326287" w14:textId="2DDC0BE8" w:rsidR="00D37680" w:rsidRPr="00964589" w:rsidRDefault="00D37680" w:rsidP="00D37680">
            <w:pPr>
              <w:keepNext/>
              <w:spacing w:before="0" w:after="0"/>
              <w:jc w:val="both"/>
              <w:rPr>
                <w:sz w:val="18"/>
              </w:rPr>
            </w:pPr>
            <w:r>
              <w:rPr>
                <w:sz w:val="18"/>
              </w:rPr>
              <w:t>New construction</w:t>
            </w:r>
          </w:p>
        </w:tc>
        <w:tc>
          <w:tcPr>
            <w:tcW w:w="3024" w:type="dxa"/>
            <w:noWrap/>
            <w:tcMar>
              <w:top w:w="0" w:type="dxa"/>
              <w:left w:w="108" w:type="dxa"/>
              <w:bottom w:w="0" w:type="dxa"/>
              <w:right w:w="108" w:type="dxa"/>
            </w:tcMar>
          </w:tcPr>
          <w:p w14:paraId="1BFA8B98" w14:textId="2A4D08C3" w:rsidR="00D37680" w:rsidRPr="00964589" w:rsidRDefault="00D37680" w:rsidP="00D37680">
            <w:pPr>
              <w:keepNext/>
              <w:spacing w:before="0" w:after="0"/>
              <w:jc w:val="both"/>
              <w:rPr>
                <w:sz w:val="18"/>
              </w:rPr>
            </w:pPr>
            <w:r w:rsidRPr="00964589">
              <w:rPr>
                <w:sz w:val="18"/>
              </w:rPr>
              <w:t>DnDeemed</w:t>
            </w:r>
          </w:p>
        </w:tc>
        <w:tc>
          <w:tcPr>
            <w:tcW w:w="3024" w:type="dxa"/>
            <w:noWrap/>
            <w:tcMar>
              <w:top w:w="0" w:type="dxa"/>
              <w:left w:w="108" w:type="dxa"/>
              <w:bottom w:w="0" w:type="dxa"/>
              <w:right w:w="108" w:type="dxa"/>
            </w:tcMar>
          </w:tcPr>
          <w:p w14:paraId="75CA0E2E" w14:textId="0DE473B7" w:rsidR="00D37680" w:rsidRPr="00964589" w:rsidRDefault="00D37680" w:rsidP="00D37680">
            <w:pPr>
              <w:keepNext/>
              <w:spacing w:before="0" w:after="0"/>
              <w:jc w:val="both"/>
              <w:rPr>
                <w:sz w:val="18"/>
              </w:rPr>
            </w:pPr>
            <w:r w:rsidRPr="00964589">
              <w:rPr>
                <w:sz w:val="18"/>
              </w:rPr>
              <w:t>Res</w:t>
            </w:r>
          </w:p>
        </w:tc>
      </w:tr>
      <w:tr w:rsidR="00D37680" w:rsidRPr="00C6243E" w14:paraId="39B3053A" w14:textId="77777777" w:rsidTr="00742A1C">
        <w:trPr>
          <w:trHeight w:val="290"/>
        </w:trPr>
        <w:tc>
          <w:tcPr>
            <w:tcW w:w="3024" w:type="dxa"/>
            <w:noWrap/>
            <w:tcMar>
              <w:top w:w="0" w:type="dxa"/>
              <w:left w:w="108" w:type="dxa"/>
              <w:bottom w:w="0" w:type="dxa"/>
              <w:right w:w="108" w:type="dxa"/>
            </w:tcMar>
          </w:tcPr>
          <w:p w14:paraId="334F4375" w14:textId="22BB9D6E" w:rsidR="00D37680" w:rsidRPr="00964589" w:rsidRDefault="00D37680" w:rsidP="00D37680">
            <w:pPr>
              <w:keepNext/>
              <w:spacing w:before="0" w:after="0"/>
              <w:jc w:val="both"/>
              <w:rPr>
                <w:sz w:val="18"/>
              </w:rPr>
            </w:pPr>
            <w:r>
              <w:rPr>
                <w:sz w:val="18"/>
              </w:rPr>
              <w:t>New construction</w:t>
            </w:r>
          </w:p>
        </w:tc>
        <w:tc>
          <w:tcPr>
            <w:tcW w:w="3024" w:type="dxa"/>
            <w:noWrap/>
            <w:tcMar>
              <w:top w:w="0" w:type="dxa"/>
              <w:left w:w="108" w:type="dxa"/>
              <w:bottom w:w="0" w:type="dxa"/>
              <w:right w:w="108" w:type="dxa"/>
            </w:tcMar>
          </w:tcPr>
          <w:p w14:paraId="02DBA33E" w14:textId="6855E579" w:rsidR="00D37680" w:rsidRPr="00964589" w:rsidRDefault="00D37680" w:rsidP="00D37680">
            <w:pPr>
              <w:keepNext/>
              <w:spacing w:before="0" w:after="0"/>
              <w:jc w:val="both"/>
              <w:rPr>
                <w:sz w:val="18"/>
              </w:rPr>
            </w:pPr>
            <w:r w:rsidRPr="00964589">
              <w:rPr>
                <w:sz w:val="18"/>
              </w:rPr>
              <w:t>DnDeemDI</w:t>
            </w:r>
          </w:p>
        </w:tc>
        <w:tc>
          <w:tcPr>
            <w:tcW w:w="3024" w:type="dxa"/>
            <w:noWrap/>
            <w:tcMar>
              <w:top w:w="0" w:type="dxa"/>
              <w:left w:w="108" w:type="dxa"/>
              <w:bottom w:w="0" w:type="dxa"/>
              <w:right w:w="108" w:type="dxa"/>
            </w:tcMar>
          </w:tcPr>
          <w:p w14:paraId="3F123CCB" w14:textId="1037F306" w:rsidR="00D37680" w:rsidRPr="00964589" w:rsidRDefault="00D37680" w:rsidP="00D37680">
            <w:pPr>
              <w:keepNext/>
              <w:spacing w:before="0" w:after="0"/>
              <w:jc w:val="both"/>
              <w:rPr>
                <w:sz w:val="18"/>
              </w:rPr>
            </w:pPr>
            <w:r w:rsidRPr="00964589">
              <w:rPr>
                <w:sz w:val="18"/>
              </w:rPr>
              <w:t>Res</w:t>
            </w:r>
          </w:p>
        </w:tc>
      </w:tr>
    </w:tbl>
    <w:p w14:paraId="1B25BF30" w14:textId="098E3097" w:rsidR="0086614A" w:rsidRDefault="00D37680" w:rsidP="0086614A">
      <w:r>
        <w:t xml:space="preserve">Please note that new </w:t>
      </w:r>
    </w:p>
    <w:p w14:paraId="16CA97F5" w14:textId="37B3D601" w:rsidR="00D37680" w:rsidRDefault="00D37680" w:rsidP="00D37680">
      <w:pPr>
        <w:pStyle w:val="ListParagraph"/>
        <w:numPr>
          <w:ilvl w:val="0"/>
          <w:numId w:val="45"/>
        </w:numPr>
      </w:pPr>
      <w:r>
        <w:t>of an existing building,</w:t>
      </w:r>
    </w:p>
    <w:p w14:paraId="7534433B" w14:textId="77777777" w:rsidR="00D37680" w:rsidRDefault="00D37680" w:rsidP="00D37680">
      <w:pPr>
        <w:pStyle w:val="ListParagraph"/>
        <w:numPr>
          <w:ilvl w:val="0"/>
          <w:numId w:val="45"/>
        </w:numPr>
      </w:pPr>
      <w:r>
        <w:t>measures are installed in a major renovation of an existing building, or</w:t>
      </w:r>
    </w:p>
    <w:p w14:paraId="7104153C" w14:textId="5CBFC33E" w:rsidR="00D37680" w:rsidRDefault="00D37680" w:rsidP="00D37680">
      <w:pPr>
        <w:pStyle w:val="ListParagraph"/>
        <w:numPr>
          <w:ilvl w:val="0"/>
          <w:numId w:val="45"/>
        </w:numPr>
      </w:pPr>
      <w:r>
        <w:t>measures are installed in capacity expansions of existing systems to serve existing and/or new load retrofits that require a new energy service.</w:t>
      </w:r>
    </w:p>
    <w:p w14:paraId="132BE74F" w14:textId="64F12456" w:rsidR="001048F9" w:rsidRDefault="001048F9" w:rsidP="00E00D76">
      <w:r>
        <w:t>These are defined as new services in</w:t>
      </w:r>
      <w:r w:rsidR="00A54F73">
        <w:t xml:space="preserve"> the</w:t>
      </w:r>
      <w:r>
        <w:t xml:space="preserve"> fuel substitution technical guidance</w:t>
      </w:r>
      <w:r>
        <w:rPr>
          <w:rStyle w:val="FootnoteReference"/>
        </w:rPr>
        <w:footnoteReference w:id="6"/>
      </w:r>
      <w:r>
        <w:t>.</w:t>
      </w:r>
    </w:p>
    <w:p w14:paraId="064A0D59" w14:textId="7A4235B2" w:rsidR="003524F6" w:rsidRDefault="003524F6" w:rsidP="003524F6">
      <w:pPr>
        <w:jc w:val="both"/>
      </w:pPr>
      <w:r>
        <w:t>For upstream delivery method, the participant baselines are unknown, and the spillover effects are unknown.  The manufacturer doesn’t know whether the purchased measure is replacing a gas or an electric baseline appliance. Claimed savings for these delivery types will be adjusted using the ratio of baseline gas appliance to total baseline appliances. These ratios will be determined from (Residential Appliance Saturation Survey (RASS)</w:t>
      </w:r>
      <w:r w:rsidRPr="003524F6">
        <w:rPr>
          <w:rStyle w:val="FootnoteReference"/>
        </w:rPr>
        <w:t xml:space="preserve"> </w:t>
      </w:r>
      <w:r w:rsidRPr="00F236D3">
        <w:rPr>
          <w:rStyle w:val="FootnoteReference"/>
        </w:rPr>
        <w:footnoteReference w:id="7"/>
      </w:r>
      <w:r>
        <w:t xml:space="preserve">. If there are no workpapers available for the electric to electric portion, the savings claimed for that portion on claims side is automatically set to zero. </w:t>
      </w:r>
    </w:p>
    <w:p w14:paraId="61EEB386" w14:textId="120BE2FE" w:rsidR="003524F6" w:rsidRDefault="003524F6" w:rsidP="003524F6">
      <w:pPr>
        <w:jc w:val="both"/>
      </w:pPr>
      <w:r>
        <w:t xml:space="preserve">For </w:t>
      </w:r>
      <w:r w:rsidR="009B11FB">
        <w:t>m</w:t>
      </w:r>
      <w:r>
        <w:t>idstream delivery the implementer shall survey 10% of the mid-stream baseline existing conditions and fuel type to determine actual gas/electric baseline proportions, and the program administrator shall adjust claimed savings based upon these survey results.</w:t>
      </w:r>
    </w:p>
    <w:p w14:paraId="1C7CF387" w14:textId="6D0FE564" w:rsidR="003524F6" w:rsidRPr="00517F44" w:rsidRDefault="003524F6" w:rsidP="003524F6">
      <w:pPr>
        <w:jc w:val="both"/>
      </w:pPr>
      <w:r>
        <w:t xml:space="preserve">In addition, for midstream delivery method, the implementer should provide the retailer or distribution location where the product was sold, rated capacity, proposed building type where the product will be installed (single family, multi-family or mobile homes), and cooling and heating efficiency. </w:t>
      </w:r>
    </w:p>
    <w:bookmarkEnd w:id="25"/>
    <w:bookmarkEnd w:id="26"/>
    <w:p w14:paraId="296E4201" w14:textId="77777777" w:rsidR="00D37680" w:rsidRDefault="00D37680" w:rsidP="00D37680">
      <w:r>
        <w:t xml:space="preserve">For downstream deemed and downstream direct-install delivery types, in addition to the standard information such as building type, climate zone, and capacity of the units, the following data must be submitted with each project application by the project developer: </w:t>
      </w:r>
    </w:p>
    <w:p w14:paraId="05E6DC29" w14:textId="77777777" w:rsidR="00D37680" w:rsidRDefault="00D37680" w:rsidP="00D37680">
      <w:pPr>
        <w:pStyle w:val="eTRMBulletedText"/>
        <w:numPr>
          <w:ilvl w:val="0"/>
          <w:numId w:val="46"/>
        </w:numPr>
        <w:ind w:left="720"/>
      </w:pPr>
      <w:r>
        <w:t>What is the existing fuel type for space heating?</w:t>
      </w:r>
    </w:p>
    <w:p w14:paraId="0498C26D" w14:textId="77777777" w:rsidR="00D37680" w:rsidRDefault="00D37680" w:rsidP="00D37680">
      <w:pPr>
        <w:pStyle w:val="eTRMBulletedText"/>
        <w:numPr>
          <w:ilvl w:val="0"/>
          <w:numId w:val="46"/>
        </w:numPr>
        <w:ind w:left="720"/>
      </w:pPr>
      <w:r>
        <w:lastRenderedPageBreak/>
        <w:t xml:space="preserve">Did the site require any electric infrastructure upgrades for the proposed electrification measure? If yes, provide the itemized invoices with infrastructure upgrade costs. </w:t>
      </w:r>
    </w:p>
    <w:p w14:paraId="7367858B" w14:textId="701E145A" w:rsidR="00D37680" w:rsidRDefault="00D37680" w:rsidP="00D37680">
      <w:pPr>
        <w:pStyle w:val="eTRMBulletedText"/>
        <w:numPr>
          <w:ilvl w:val="0"/>
          <w:numId w:val="46"/>
        </w:numPr>
        <w:ind w:left="720"/>
      </w:pPr>
      <w:r>
        <w:t xml:space="preserve">Did the owner install any other electrification measures at this site? If yes, list the measures and provide the itemized invoices with infrastructure upgrade costs (if any). </w:t>
      </w:r>
    </w:p>
    <w:p w14:paraId="0AF9C4E8" w14:textId="2774D740" w:rsidR="001B1861" w:rsidRPr="001B1861" w:rsidRDefault="001B1861" w:rsidP="001B1861">
      <w:pPr>
        <w:pStyle w:val="eTRMBulletedText"/>
        <w:numPr>
          <w:ilvl w:val="0"/>
          <w:numId w:val="46"/>
        </w:numPr>
        <w:ind w:left="720"/>
      </w:pPr>
      <w:bookmarkStart w:id="27" w:name="_Hlk58597066"/>
      <w:r>
        <w:t>For</w:t>
      </w:r>
      <w:r w:rsidR="00B05309">
        <w:t xml:space="preserve"> measure case without existing cooling load, v</w:t>
      </w:r>
      <w:r w:rsidRPr="001B1861">
        <w:t xml:space="preserve">erify for the existing condition there is only space heating furnace equipment (excluding any type of cooling equipment) serving the home. </w:t>
      </w:r>
    </w:p>
    <w:bookmarkEnd w:id="27"/>
    <w:p w14:paraId="353A28FA" w14:textId="68F3642A" w:rsidR="00F236D3" w:rsidRDefault="00F236D3" w:rsidP="00B13E72">
      <w:pPr>
        <w:pStyle w:val="eTRMHeading5"/>
        <w:jc w:val="both"/>
        <w:rPr>
          <w:rFonts w:cs="Calibri Light"/>
        </w:rPr>
      </w:pPr>
    </w:p>
    <w:p w14:paraId="683B9E13" w14:textId="726F5C70" w:rsidR="00375BD8" w:rsidRPr="00C6243E" w:rsidRDefault="00375BD8" w:rsidP="00B13E72">
      <w:pPr>
        <w:pStyle w:val="eTRMHeading5"/>
        <w:jc w:val="both"/>
        <w:rPr>
          <w:rFonts w:cs="Calibri Light"/>
        </w:rPr>
      </w:pPr>
      <w:r w:rsidRPr="00C6243E">
        <w:rPr>
          <w:rFonts w:cs="Calibri Light"/>
        </w:rPr>
        <w:t>Eligible Products</w:t>
      </w:r>
    </w:p>
    <w:p w14:paraId="522C3F1B" w14:textId="5C56945F" w:rsidR="00375BD8" w:rsidRPr="00C6243E" w:rsidRDefault="008531C6" w:rsidP="00B13E72">
      <w:pPr>
        <w:jc w:val="both"/>
        <w:rPr>
          <w:rFonts w:cs="Calibri Light"/>
          <w:b/>
          <w:sz w:val="28"/>
          <w:szCs w:val="28"/>
        </w:rPr>
      </w:pPr>
      <w:r w:rsidRPr="00624B80">
        <w:rPr>
          <w:rFonts w:cs="Calibri Light"/>
          <w:b/>
        </w:rPr>
        <w:t xml:space="preserve">General </w:t>
      </w:r>
      <w:r w:rsidR="00375BD8" w:rsidRPr="00624B80">
        <w:rPr>
          <w:rFonts w:cs="Calibri Light"/>
          <w:b/>
        </w:rPr>
        <w:t>Eligibility Requirements</w:t>
      </w:r>
    </w:p>
    <w:p w14:paraId="067DC07C" w14:textId="147EAFEE" w:rsidR="00375BD8" w:rsidRPr="00C6243E" w:rsidRDefault="00517F44" w:rsidP="00B13E72">
      <w:pPr>
        <w:jc w:val="both"/>
        <w:rPr>
          <w:rFonts w:cs="Calibri Light"/>
        </w:rPr>
      </w:pPr>
      <w:r>
        <w:rPr>
          <w:rFonts w:cs="Calibri Light"/>
        </w:rPr>
        <w:t>The mini-split heat pump unit m</w:t>
      </w:r>
      <w:r w:rsidR="00E05289">
        <w:rPr>
          <w:rFonts w:cs="Calibri Light"/>
        </w:rPr>
        <w:t>ust meet or exceed the minimum efficiency requirement</w:t>
      </w:r>
      <w:r w:rsidR="00D37680">
        <w:rPr>
          <w:rFonts w:cs="Calibri Light"/>
        </w:rPr>
        <w:t>s</w:t>
      </w:r>
      <w:r w:rsidR="005E07C4">
        <w:rPr>
          <w:rFonts w:cs="Calibri Light"/>
        </w:rPr>
        <w:t xml:space="preserve"> set forth in the measure</w:t>
      </w:r>
      <w:r w:rsidR="00F423E7">
        <w:rPr>
          <w:rFonts w:cs="Calibri Light"/>
        </w:rPr>
        <w:t>.</w:t>
      </w:r>
      <w:r w:rsidR="00D11964" w:rsidRPr="00D11964">
        <w:rPr>
          <w:rFonts w:cs="Calibri Light"/>
        </w:rPr>
        <w:t xml:space="preserve"> </w:t>
      </w:r>
      <w:r w:rsidR="003524F6">
        <w:t xml:space="preserve">The existing furnace </w:t>
      </w:r>
      <w:r w:rsidR="001C69AD">
        <w:t xml:space="preserve">and air conditioning </w:t>
      </w:r>
      <w:r w:rsidR="003524F6">
        <w:t xml:space="preserve">equipment must be removed and disposed of rather than refurbished and sold. Existing gas line(s) serving removed gas equipment must be capped off and removed refrigerant must be handled and disposed in accordance with all state and local regulations including but not limited to CA Energy Standards, CA Building Code, CA Pluming Code, and NEC. </w:t>
      </w:r>
    </w:p>
    <w:p w14:paraId="214E0813" w14:textId="77777777" w:rsidR="00375BD8" w:rsidRPr="00C6243E" w:rsidRDefault="00375BD8" w:rsidP="00B13E72">
      <w:pPr>
        <w:jc w:val="both"/>
        <w:rPr>
          <w:rFonts w:cs="Calibri Light"/>
        </w:rPr>
      </w:pPr>
    </w:p>
    <w:p w14:paraId="49988F21" w14:textId="77777777" w:rsidR="00375BD8" w:rsidRPr="00C6243E" w:rsidRDefault="00375BD8" w:rsidP="00B13E72">
      <w:pPr>
        <w:pStyle w:val="eTRMHeading5"/>
        <w:jc w:val="both"/>
        <w:rPr>
          <w:rFonts w:cs="Calibri Light"/>
        </w:rPr>
      </w:pPr>
      <w:r w:rsidRPr="00C6243E">
        <w:rPr>
          <w:rFonts w:cs="Calibri Light"/>
        </w:rPr>
        <w:t>Eligible Building Types and Vintages</w:t>
      </w:r>
    </w:p>
    <w:p w14:paraId="7CB7B0BD" w14:textId="4E14F0F2" w:rsidR="00375BD8" w:rsidRPr="00C6243E" w:rsidRDefault="00375BD8" w:rsidP="00B13E72">
      <w:pPr>
        <w:jc w:val="both"/>
        <w:rPr>
          <w:rFonts w:cs="Calibri Light"/>
        </w:rPr>
      </w:pPr>
      <w:r w:rsidRPr="00C6243E">
        <w:rPr>
          <w:rFonts w:cs="Calibri Light"/>
        </w:rPr>
        <w:t>This measure is applicable for all residential building types (</w:t>
      </w:r>
      <w:r w:rsidRPr="00C6243E">
        <w:rPr>
          <w:rFonts w:cs="Calibri Light"/>
          <w:szCs w:val="22"/>
        </w:rPr>
        <w:t xml:space="preserve">single family, multifamily, and mobile homes) </w:t>
      </w:r>
      <w:r w:rsidRPr="00C6243E">
        <w:rPr>
          <w:rFonts w:cs="Calibri Light"/>
        </w:rPr>
        <w:t xml:space="preserve">of </w:t>
      </w:r>
      <w:r w:rsidR="00327C23">
        <w:rPr>
          <w:rFonts w:cs="Calibri Light"/>
        </w:rPr>
        <w:t>existing vintage</w:t>
      </w:r>
      <w:r w:rsidR="00E05289">
        <w:rPr>
          <w:rFonts w:cs="Calibri Light"/>
        </w:rPr>
        <w:t>s</w:t>
      </w:r>
      <w:r w:rsidRPr="00C6243E">
        <w:rPr>
          <w:rFonts w:cs="Calibri Light"/>
        </w:rPr>
        <w:t>.</w:t>
      </w:r>
    </w:p>
    <w:p w14:paraId="2E043501" w14:textId="77777777" w:rsidR="00375BD8" w:rsidRPr="00C6243E" w:rsidRDefault="00375BD8" w:rsidP="00B13E72">
      <w:pPr>
        <w:jc w:val="both"/>
        <w:rPr>
          <w:rFonts w:cs="Calibri Light"/>
        </w:rPr>
      </w:pPr>
    </w:p>
    <w:p w14:paraId="72722208" w14:textId="77777777" w:rsidR="00375BD8" w:rsidRPr="00C6243E" w:rsidRDefault="00375BD8" w:rsidP="00B13E72">
      <w:pPr>
        <w:pStyle w:val="eTRMHeading5"/>
        <w:jc w:val="both"/>
        <w:rPr>
          <w:rFonts w:cs="Calibri Light"/>
        </w:rPr>
      </w:pPr>
      <w:r w:rsidRPr="00C6243E">
        <w:rPr>
          <w:rFonts w:cs="Calibri Light"/>
        </w:rPr>
        <w:t>Eligible Climate Zones</w:t>
      </w:r>
    </w:p>
    <w:p w14:paraId="1F906F5D" w14:textId="34A5461A" w:rsidR="00375BD8" w:rsidRPr="00E00D76" w:rsidRDefault="00375BD8" w:rsidP="00B13E72">
      <w:pPr>
        <w:jc w:val="both"/>
        <w:rPr>
          <w:rFonts w:cs="Calibri Light"/>
          <w:strike/>
        </w:rPr>
      </w:pPr>
      <w:r w:rsidRPr="00C6243E">
        <w:rPr>
          <w:rFonts w:cs="Calibri Light"/>
        </w:rPr>
        <w:t xml:space="preserve">This measure is applicable in all California climate zones. </w:t>
      </w:r>
    </w:p>
    <w:p w14:paraId="68AB65BB" w14:textId="77777777" w:rsidR="00F236D3" w:rsidRDefault="00F236D3" w:rsidP="00F236D3">
      <w:pPr>
        <w:pStyle w:val="eTRMHeading5"/>
        <w:rPr>
          <w:rFonts w:cs="Calibri Light"/>
          <w:highlight w:val="yellow"/>
        </w:rPr>
      </w:pPr>
    </w:p>
    <w:p w14:paraId="39819C32" w14:textId="30D4A42F" w:rsidR="00F236D3" w:rsidRPr="00F236D3" w:rsidRDefault="00F236D3" w:rsidP="00F236D3">
      <w:pPr>
        <w:pStyle w:val="eTRMHeading5"/>
        <w:rPr>
          <w:rFonts w:cs="Calibri Light"/>
        </w:rPr>
      </w:pPr>
      <w:r w:rsidRPr="00F236D3">
        <w:rPr>
          <w:rFonts w:cs="Calibri Light"/>
        </w:rPr>
        <w:t>Incentive Amounts</w:t>
      </w:r>
    </w:p>
    <w:p w14:paraId="6DADC3EE" w14:textId="77777777" w:rsidR="008717A6" w:rsidRDefault="008717A6" w:rsidP="008717A6">
      <w:pPr>
        <w:rPr>
          <w:rFonts w:cs="Calibri Light"/>
        </w:rPr>
      </w:pPr>
      <w:r w:rsidRPr="008717A6">
        <w:t>Fuel substitution measures face market barriers, including consumer market failures and supplier market failures.  Deployment of these measures may require rebates or financial incentives to participants that exceed the measure cost.</w:t>
      </w:r>
      <w:r w:rsidRPr="009047BA">
        <w:t xml:space="preserve"> </w:t>
      </w:r>
    </w:p>
    <w:p w14:paraId="030D1057" w14:textId="77777777" w:rsidR="00375BD8" w:rsidRPr="00C6243E" w:rsidRDefault="00375BD8" w:rsidP="00B13E72">
      <w:pPr>
        <w:jc w:val="both"/>
        <w:rPr>
          <w:rFonts w:cs="Calibri Light"/>
        </w:rPr>
      </w:pPr>
    </w:p>
    <w:p w14:paraId="27388D02" w14:textId="5A12D755" w:rsidR="00375BD8" w:rsidRPr="00C6243E" w:rsidRDefault="005B3516" w:rsidP="00B13E72">
      <w:pPr>
        <w:pStyle w:val="eTRMHeading3"/>
        <w:jc w:val="both"/>
        <w:rPr>
          <w:rFonts w:cs="Calibri Light"/>
        </w:rPr>
      </w:pPr>
      <w:bookmarkStart w:id="28" w:name="_Toc486490853"/>
      <w:bookmarkStart w:id="29" w:name="_Toc486580924"/>
      <w:bookmarkStart w:id="30" w:name="_Toc64561062"/>
      <w:r w:rsidRPr="00C6243E">
        <w:rPr>
          <w:rFonts w:cs="Calibri Light"/>
        </w:rPr>
        <w:t xml:space="preserve">Program </w:t>
      </w:r>
      <w:r w:rsidR="00375BD8" w:rsidRPr="00C6243E">
        <w:rPr>
          <w:rFonts w:cs="Calibri Light"/>
        </w:rPr>
        <w:t>Exclusions</w:t>
      </w:r>
      <w:bookmarkEnd w:id="28"/>
      <w:bookmarkEnd w:id="29"/>
      <w:bookmarkEnd w:id="30"/>
      <w:r w:rsidR="00375BD8" w:rsidRPr="00C6243E">
        <w:rPr>
          <w:rFonts w:cs="Calibri Light"/>
        </w:rPr>
        <w:t xml:space="preserve"> </w:t>
      </w:r>
    </w:p>
    <w:p w14:paraId="7420636E" w14:textId="437F226C" w:rsidR="0088419A" w:rsidRDefault="0088419A" w:rsidP="00B13E72">
      <w:pPr>
        <w:jc w:val="both"/>
      </w:pPr>
      <w:bookmarkStart w:id="31" w:name="_Toc486490854"/>
      <w:bookmarkStart w:id="32" w:name="_Toc486580925"/>
      <w:r w:rsidRPr="0088419A">
        <w:t>This measure is not eligible when there is no natural gas to electricity fuel substitution for heating and/or when the measures include a non-regulated fuel. New construction measures are only eligible under certain conditions listed in the above section. Ground up constructions are not eligible</w:t>
      </w:r>
      <w:r w:rsidR="006657B3">
        <w:t>.</w:t>
      </w:r>
      <w:r w:rsidRPr="0088419A" w:rsidDel="0088419A">
        <w:t xml:space="preserve"> </w:t>
      </w:r>
    </w:p>
    <w:p w14:paraId="3B21F87C" w14:textId="77777777" w:rsidR="000B233C" w:rsidRPr="00906427" w:rsidRDefault="000B233C" w:rsidP="00B13E72">
      <w:pPr>
        <w:jc w:val="both"/>
        <w:rPr>
          <w:rFonts w:cs="Calibri Light"/>
        </w:rPr>
      </w:pPr>
    </w:p>
    <w:p w14:paraId="0CF58D1C" w14:textId="77777777" w:rsidR="00375BD8" w:rsidRPr="00C6243E" w:rsidRDefault="00375BD8" w:rsidP="00B13E72">
      <w:pPr>
        <w:pStyle w:val="eTRMHeading3"/>
        <w:jc w:val="both"/>
        <w:rPr>
          <w:rFonts w:cs="Calibri Light"/>
        </w:rPr>
      </w:pPr>
      <w:bookmarkStart w:id="33" w:name="_Toc64561063"/>
      <w:r w:rsidRPr="00036074">
        <w:rPr>
          <w:rFonts w:cs="Calibri Light"/>
        </w:rPr>
        <w:t>Data Collection Requirements</w:t>
      </w:r>
      <w:bookmarkStart w:id="34" w:name="_Toc486490855"/>
      <w:bookmarkStart w:id="35" w:name="_Toc486580926"/>
      <w:bookmarkEnd w:id="31"/>
      <w:bookmarkEnd w:id="32"/>
      <w:bookmarkEnd w:id="33"/>
    </w:p>
    <w:p w14:paraId="5D0B835B" w14:textId="1AFDE17D" w:rsidR="0088419A" w:rsidRDefault="0088419A" w:rsidP="0002472B">
      <w:r w:rsidRPr="0088419A">
        <w:t>Baseline equipment type and fuel source must be verified, for downstream and direct install measures.</w:t>
      </w:r>
    </w:p>
    <w:p w14:paraId="5928D4CA" w14:textId="06C3C5E0" w:rsidR="0002472B" w:rsidRDefault="00F236D3" w:rsidP="0002472B">
      <w:r w:rsidRPr="00F236D3">
        <w:lastRenderedPageBreak/>
        <w:t>Per CPUC Decision 19-08-009</w:t>
      </w:r>
      <w:r w:rsidRPr="00F236D3">
        <w:rPr>
          <w:rStyle w:val="FootnoteReference"/>
        </w:rPr>
        <w:footnoteReference w:id="8"/>
      </w:r>
      <w:r w:rsidRPr="00F236D3">
        <w:t xml:space="preserve">, building infrastructure costs which include panel upgrades or gas line installations/upgrades required to facilitate these fuel substitution measures shall be collected for </w:t>
      </w:r>
      <w:r w:rsidR="00AD5FFC">
        <w:t>10% of</w:t>
      </w:r>
      <w:r w:rsidR="00AD5FFC" w:rsidRPr="00F236D3">
        <w:t xml:space="preserve"> </w:t>
      </w:r>
      <w:r w:rsidR="004E0246">
        <w:t xml:space="preserve">each </w:t>
      </w:r>
      <w:r w:rsidRPr="00F236D3">
        <w:t>downstream and direct install measures.</w:t>
      </w:r>
    </w:p>
    <w:p w14:paraId="31FD529B" w14:textId="77777777" w:rsidR="0002472B" w:rsidRPr="0002472B" w:rsidRDefault="0002472B" w:rsidP="0002472B"/>
    <w:p w14:paraId="72B0656C" w14:textId="2C239017" w:rsidR="00375BD8" w:rsidRPr="00C6243E" w:rsidRDefault="00375BD8" w:rsidP="00B13E72">
      <w:pPr>
        <w:pStyle w:val="eTRMHeading3"/>
        <w:jc w:val="both"/>
        <w:rPr>
          <w:rFonts w:cs="Calibri Light"/>
        </w:rPr>
      </w:pPr>
      <w:bookmarkStart w:id="36" w:name="_Toc64561064"/>
      <w:r w:rsidRPr="00C6243E">
        <w:rPr>
          <w:rFonts w:cs="Calibri Light"/>
        </w:rPr>
        <w:t>Use Category</w:t>
      </w:r>
      <w:bookmarkEnd w:id="34"/>
      <w:bookmarkEnd w:id="35"/>
      <w:bookmarkEnd w:id="36"/>
    </w:p>
    <w:p w14:paraId="742FCA7B" w14:textId="2504D311" w:rsidR="00375BD8" w:rsidRPr="00C6243E" w:rsidRDefault="00815D74" w:rsidP="00B13E72">
      <w:pPr>
        <w:jc w:val="both"/>
        <w:rPr>
          <w:rFonts w:cs="Calibri Light"/>
        </w:rPr>
      </w:pPr>
      <w:r>
        <w:rPr>
          <w:rFonts w:cs="Calibri Light"/>
        </w:rPr>
        <w:t>HVAC</w:t>
      </w:r>
    </w:p>
    <w:p w14:paraId="6877C066" w14:textId="77777777" w:rsidR="00375BD8" w:rsidRPr="00C6243E" w:rsidRDefault="00375BD8" w:rsidP="00B13E72">
      <w:pPr>
        <w:jc w:val="both"/>
        <w:rPr>
          <w:rFonts w:cs="Calibri Light"/>
        </w:rPr>
      </w:pPr>
    </w:p>
    <w:p w14:paraId="4E74977C" w14:textId="2612D857" w:rsidR="00AD706D" w:rsidRDefault="00375BD8" w:rsidP="00B13E72">
      <w:pPr>
        <w:pStyle w:val="eTRMHeading3"/>
        <w:jc w:val="both"/>
        <w:rPr>
          <w:rStyle w:val="SubtleEmphasis"/>
          <w:rFonts w:eastAsiaTheme="minorEastAsia" w:cs="Calibri Light"/>
          <w:i w:val="0"/>
          <w:iCs w:val="0"/>
          <w:sz w:val="20"/>
          <w:szCs w:val="24"/>
        </w:rPr>
      </w:pPr>
      <w:bookmarkStart w:id="37" w:name="_Toc486490857"/>
      <w:bookmarkStart w:id="38" w:name="_Toc486580928"/>
      <w:bookmarkStart w:id="39" w:name="_Toc64561065"/>
      <w:r w:rsidRPr="00760DBB">
        <w:rPr>
          <w:rFonts w:cs="Calibri Light"/>
        </w:rPr>
        <w:t>Electric Savings (</w:t>
      </w:r>
      <w:r w:rsidRPr="00760DBB">
        <w:rPr>
          <w:rFonts w:cs="Calibri Light"/>
          <w:caps w:val="0"/>
        </w:rPr>
        <w:t>kWh</w:t>
      </w:r>
      <w:r w:rsidRPr="00760DBB">
        <w:rPr>
          <w:rFonts w:cs="Calibri Light"/>
        </w:rPr>
        <w:t>)</w:t>
      </w:r>
      <w:bookmarkEnd w:id="37"/>
      <w:bookmarkEnd w:id="38"/>
      <w:bookmarkEnd w:id="39"/>
    </w:p>
    <w:p w14:paraId="480790D7" w14:textId="01CD8F0C" w:rsidR="00E05289" w:rsidRDefault="00E05289" w:rsidP="0002472B">
      <w:pPr>
        <w:jc w:val="both"/>
      </w:pPr>
      <w:r>
        <w:t>The electric unit e</w:t>
      </w:r>
      <w:r w:rsidRPr="00E64915">
        <w:t>nergy savings</w:t>
      </w:r>
      <w:r>
        <w:t xml:space="preserve"> (UES)</w:t>
      </w:r>
      <w:r w:rsidRPr="00E64915">
        <w:t xml:space="preserve"> and demand reduction </w:t>
      </w:r>
      <w:r>
        <w:t>were</w:t>
      </w:r>
      <w:r w:rsidRPr="00E64915">
        <w:t xml:space="preserve"> </w:t>
      </w:r>
      <w:r>
        <w:t xml:space="preserve">derived from unit energy consumption (UEC) </w:t>
      </w:r>
      <w:r w:rsidRPr="00E64915">
        <w:t xml:space="preserve">estimated </w:t>
      </w:r>
      <w:r>
        <w:t>using</w:t>
      </w:r>
      <w:r w:rsidRPr="00E64915">
        <w:t xml:space="preserve"> eQUEST version 3.6</w:t>
      </w:r>
      <w:r>
        <w:t xml:space="preserve">5 </w:t>
      </w:r>
      <w:r w:rsidRPr="00E64915">
        <w:t>energy modeling software</w:t>
      </w:r>
      <w:r>
        <w:t>. The software</w:t>
      </w:r>
      <w:r w:rsidRPr="00E64915">
        <w:t xml:space="preserve"> </w:t>
      </w:r>
      <w:r>
        <w:t>uses the DOE2.3 energy modeling simulation engine for</w:t>
      </w:r>
      <w:r w:rsidR="002D2DEA">
        <w:t xml:space="preserve"> </w:t>
      </w:r>
      <w:r>
        <w:t>residential building types.</w:t>
      </w:r>
    </w:p>
    <w:p w14:paraId="654C50EF" w14:textId="3A4BD40D" w:rsidR="00E05289" w:rsidRDefault="00E05289" w:rsidP="0002472B">
      <w:pPr>
        <w:jc w:val="both"/>
      </w:pPr>
      <w:r>
        <w:t xml:space="preserve">DEER2020 prototypes from the Database of Energy Efficient Resources (DEER) were utilized for the building energy use simulations. The </w:t>
      </w:r>
      <w:r w:rsidRPr="00E64915">
        <w:t>DEER</w:t>
      </w:r>
      <w:r>
        <w:t xml:space="preserve">2020 </w:t>
      </w:r>
      <w:r w:rsidRPr="00E64915">
        <w:t xml:space="preserve">prototypes were generated using </w:t>
      </w:r>
      <w:r>
        <w:t>MASControl v3.00.00. T</w:t>
      </w:r>
      <w:r w:rsidRPr="00E64915">
        <w:t>he DEER</w:t>
      </w:r>
      <w:r>
        <w:t>2020 prototypes for existing era building vintages</w:t>
      </w:r>
      <w:r w:rsidR="002D2DEA">
        <w:t xml:space="preserve"> 2003, 2007, 2011, and 2015</w:t>
      </w:r>
      <w:r w:rsidR="00E41816">
        <w:t xml:space="preserve"> for single family and multifamily homes</w:t>
      </w:r>
      <w:r w:rsidR="00945B19">
        <w:t xml:space="preserve"> and building vintages 2000</w:t>
      </w:r>
      <w:r w:rsidR="00CA69E2">
        <w:t xml:space="preserve"> and 2006 for mobile homes </w:t>
      </w:r>
      <w:r w:rsidR="00CA69E2" w:rsidRPr="00E64915">
        <w:t xml:space="preserve">were used to develop </w:t>
      </w:r>
      <w:r w:rsidR="00CA69E2">
        <w:t>base and measure case</w:t>
      </w:r>
      <w:r w:rsidR="00CA69E2" w:rsidRPr="00E64915">
        <w:t xml:space="preserve"> </w:t>
      </w:r>
      <w:r w:rsidR="00CA69E2">
        <w:t xml:space="preserve">unit </w:t>
      </w:r>
      <w:r w:rsidR="00CA69E2" w:rsidRPr="00E64915">
        <w:t xml:space="preserve">energy </w:t>
      </w:r>
      <w:r w:rsidR="00CA69E2">
        <w:t>consumption (UEC)</w:t>
      </w:r>
      <w:r w:rsidR="00CA69E2" w:rsidRPr="00E64915">
        <w:t xml:space="preserve"> and demand estimates</w:t>
      </w:r>
      <w:r w:rsidR="00CA69E2">
        <w:t xml:space="preserve">. </w:t>
      </w:r>
      <w:r w:rsidR="005044FB">
        <w:t xml:space="preserve">The estimates also took into account all five </w:t>
      </w:r>
      <w:r w:rsidR="002D2DEA">
        <w:t>DEER</w:t>
      </w:r>
      <w:r w:rsidR="00297A1F">
        <w:t xml:space="preserve"> residential </w:t>
      </w:r>
      <w:r w:rsidR="00BC6270">
        <w:t>thermostat s</w:t>
      </w:r>
      <w:r w:rsidR="002D2DEA">
        <w:t>chedules</w:t>
      </w:r>
      <w:r w:rsidR="005044FB">
        <w:t>.</w:t>
      </w:r>
      <w:r w:rsidR="00977523">
        <w:t xml:space="preserve"> </w:t>
      </w:r>
      <w:r w:rsidR="001C69AD" w:rsidRPr="001C69AD">
        <w:t>Energy simulations were performed using DEER2022 weather files.</w:t>
      </w:r>
    </w:p>
    <w:p w14:paraId="70407884" w14:textId="77777777" w:rsidR="00E05289" w:rsidRPr="00E76D74" w:rsidRDefault="00E05289" w:rsidP="00E20381">
      <w:pPr>
        <w:pStyle w:val="Caption"/>
      </w:pPr>
      <w:bookmarkStart w:id="40" w:name="_Hlk52525712"/>
      <w:r w:rsidRPr="00C5064D">
        <w:rPr>
          <w:noProof/>
        </w:rPr>
        <w:t>DEER Prototype Tech ID by Measure</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4224"/>
        <w:gridCol w:w="5126"/>
      </w:tblGrid>
      <w:tr w:rsidR="00E05289" w:rsidRPr="00113466" w14:paraId="63BAE0F2" w14:textId="77777777" w:rsidTr="0002472B">
        <w:trPr>
          <w:trHeight w:val="276"/>
          <w:tblHeader/>
        </w:trPr>
        <w:tc>
          <w:tcPr>
            <w:tcW w:w="2259" w:type="pct"/>
            <w:shd w:val="clear" w:color="auto" w:fill="F2F2F2" w:themeFill="background1" w:themeFillShade="F2"/>
            <w:vAlign w:val="bottom"/>
          </w:tcPr>
          <w:p w14:paraId="745C507E" w14:textId="77777777" w:rsidR="00E05289" w:rsidRPr="00113466" w:rsidRDefault="00E05289" w:rsidP="0002472B">
            <w:pPr>
              <w:spacing w:before="0" w:after="0" w:line="240" w:lineRule="auto"/>
              <w:rPr>
                <w:b/>
                <w:sz w:val="20"/>
              </w:rPr>
            </w:pPr>
            <w:r w:rsidRPr="00113466">
              <w:rPr>
                <w:b/>
                <w:sz w:val="20"/>
              </w:rPr>
              <w:t>Measure</w:t>
            </w:r>
          </w:p>
        </w:tc>
        <w:tc>
          <w:tcPr>
            <w:tcW w:w="2741" w:type="pct"/>
            <w:shd w:val="clear" w:color="auto" w:fill="F2F2F2" w:themeFill="background1" w:themeFillShade="F2"/>
            <w:vAlign w:val="bottom"/>
          </w:tcPr>
          <w:p w14:paraId="1488EB63" w14:textId="77777777" w:rsidR="00E05289" w:rsidRPr="00113466" w:rsidRDefault="00E05289" w:rsidP="0002472B">
            <w:pPr>
              <w:spacing w:before="0" w:after="0" w:line="240" w:lineRule="auto"/>
              <w:rPr>
                <w:b/>
                <w:sz w:val="20"/>
              </w:rPr>
            </w:pPr>
            <w:r w:rsidRPr="00113466">
              <w:rPr>
                <w:b/>
                <w:sz w:val="20"/>
              </w:rPr>
              <w:t>DEER Prototype Tech ID</w:t>
            </w:r>
          </w:p>
        </w:tc>
      </w:tr>
      <w:tr w:rsidR="003163F8" w:rsidRPr="00113466" w14:paraId="7B1609DF" w14:textId="77777777" w:rsidTr="003163F8">
        <w:trPr>
          <w:trHeight w:val="276"/>
          <w:tblHeader/>
        </w:trPr>
        <w:tc>
          <w:tcPr>
            <w:tcW w:w="2259" w:type="pct"/>
            <w:shd w:val="clear" w:color="auto" w:fill="FFFFFF" w:themeFill="background1"/>
            <w:vAlign w:val="center"/>
          </w:tcPr>
          <w:p w14:paraId="09DA490E" w14:textId="7E4315C6" w:rsidR="003163F8" w:rsidRPr="00113466" w:rsidRDefault="003163F8" w:rsidP="003163F8">
            <w:pPr>
              <w:spacing w:before="0" w:after="0" w:line="240" w:lineRule="auto"/>
              <w:rPr>
                <w:b/>
                <w:sz w:val="20"/>
              </w:rPr>
            </w:pPr>
            <w:r>
              <w:rPr>
                <w:sz w:val="20"/>
              </w:rPr>
              <w:t>Wall Furnace-Window AC to Mini-Split</w:t>
            </w:r>
          </w:p>
        </w:tc>
        <w:tc>
          <w:tcPr>
            <w:tcW w:w="2741" w:type="pct"/>
            <w:shd w:val="clear" w:color="auto" w:fill="FFFFFF" w:themeFill="background1"/>
            <w:vAlign w:val="center"/>
          </w:tcPr>
          <w:p w14:paraId="1631444D" w14:textId="6EA737A0" w:rsidR="003163F8" w:rsidRPr="00113466" w:rsidRDefault="003163F8" w:rsidP="003163F8">
            <w:pPr>
              <w:spacing w:before="0" w:after="0" w:line="240" w:lineRule="auto"/>
              <w:rPr>
                <w:b/>
                <w:sz w:val="20"/>
              </w:rPr>
            </w:pPr>
            <w:r w:rsidRPr="003163F8">
              <w:rPr>
                <w:sz w:val="20"/>
                <w:szCs w:val="22"/>
              </w:rPr>
              <w:t>SplitHP1SpRes-S14-H8.2</w:t>
            </w:r>
          </w:p>
        </w:tc>
      </w:tr>
      <w:tr w:rsidR="00010AE4" w:rsidRPr="00113466" w14:paraId="783C1B1B" w14:textId="77777777" w:rsidTr="003163F8">
        <w:trPr>
          <w:trHeight w:val="276"/>
          <w:tblHeader/>
        </w:trPr>
        <w:tc>
          <w:tcPr>
            <w:tcW w:w="2259" w:type="pct"/>
            <w:shd w:val="clear" w:color="auto" w:fill="FFFFFF" w:themeFill="background1"/>
            <w:vAlign w:val="center"/>
          </w:tcPr>
          <w:p w14:paraId="1345F60E" w14:textId="57749B88" w:rsidR="00010AE4" w:rsidRDefault="00010AE4" w:rsidP="00010AE4">
            <w:pPr>
              <w:spacing w:before="0" w:after="0" w:line="240" w:lineRule="auto"/>
              <w:rPr>
                <w:sz w:val="20"/>
              </w:rPr>
            </w:pPr>
            <w:r>
              <w:rPr>
                <w:sz w:val="20"/>
              </w:rPr>
              <w:t>Wall-Furnace to Mini-Split</w:t>
            </w:r>
          </w:p>
        </w:tc>
        <w:tc>
          <w:tcPr>
            <w:tcW w:w="2741" w:type="pct"/>
            <w:shd w:val="clear" w:color="auto" w:fill="FFFFFF" w:themeFill="background1"/>
            <w:vAlign w:val="center"/>
          </w:tcPr>
          <w:p w14:paraId="7DFD448F" w14:textId="1A3F813C" w:rsidR="00010AE4" w:rsidRPr="003163F8" w:rsidRDefault="00010AE4" w:rsidP="00010AE4">
            <w:pPr>
              <w:spacing w:before="0" w:after="0" w:line="240" w:lineRule="auto"/>
              <w:rPr>
                <w:sz w:val="20"/>
                <w:szCs w:val="22"/>
              </w:rPr>
            </w:pPr>
            <w:r w:rsidRPr="003163F8">
              <w:rPr>
                <w:sz w:val="20"/>
                <w:szCs w:val="22"/>
              </w:rPr>
              <w:t>SplitHP1SpRes-S14-H8.2</w:t>
            </w:r>
          </w:p>
        </w:tc>
      </w:tr>
    </w:tbl>
    <w:p w14:paraId="1D9714D9" w14:textId="77777777" w:rsidR="00E05289" w:rsidRDefault="00E05289" w:rsidP="00B13E72">
      <w:pPr>
        <w:pStyle w:val="NoSpacing"/>
        <w:jc w:val="both"/>
        <w:rPr>
          <w:rStyle w:val="SubtleEmphasis"/>
          <w:rFonts w:ascii="Calibri Light" w:eastAsiaTheme="majorEastAsia" w:hAnsi="Calibri Light" w:cs="Calibri Light"/>
          <w:i w:val="0"/>
          <w:iCs w:val="0"/>
          <w:color w:val="FF0000"/>
        </w:rPr>
      </w:pPr>
    </w:p>
    <w:p w14:paraId="0429FFB8" w14:textId="77777777" w:rsidR="00BC6270" w:rsidRDefault="00BC6270" w:rsidP="00BC6270">
      <w:pPr>
        <w:pStyle w:val="eTRMHeading4"/>
      </w:pPr>
      <w:r>
        <w:t>Prototype Modifications</w:t>
      </w:r>
    </w:p>
    <w:p w14:paraId="043AF8C9" w14:textId="0A12BD02" w:rsidR="00AB28BF" w:rsidRPr="00767055" w:rsidRDefault="00BC6270" w:rsidP="0002472B">
      <w:pPr>
        <w:jc w:val="both"/>
        <w:rPr>
          <w:rStyle w:val="SubtleEmphasis"/>
          <w:rFonts w:eastAsiaTheme="majorEastAsia" w:cs="Calibri Light"/>
          <w:i w:val="0"/>
          <w:iCs w:val="0"/>
          <w:color w:val="FF0000"/>
        </w:rPr>
      </w:pPr>
      <w:r>
        <w:t>The baseline</w:t>
      </w:r>
      <w:r w:rsidR="004A2B98">
        <w:t xml:space="preserve"> prototypes</w:t>
      </w:r>
      <w:r>
        <w:t xml:space="preserve"> </w:t>
      </w:r>
      <w:r w:rsidR="004A2B98">
        <w:t xml:space="preserve">extracted from DEER2020 were modified to simulate a natural gas wall furnace and an electric window </w:t>
      </w:r>
      <w:r w:rsidR="00E948CD">
        <w:t>air conditioner</w:t>
      </w:r>
      <w:r w:rsidR="004A2B98">
        <w:t xml:space="preserve"> unit within</w:t>
      </w:r>
      <w:r w:rsidR="00B0224B">
        <w:t xml:space="preserve"> </w:t>
      </w:r>
      <w:r w:rsidR="004A2B98">
        <w:t>single family, multifamily, and mobile hom</w:t>
      </w:r>
      <w:r w:rsidR="00B0224B">
        <w:t>e</w:t>
      </w:r>
      <w:r w:rsidR="00144B81">
        <w:t>s</w:t>
      </w:r>
      <w:r w:rsidR="004A2B98">
        <w:t xml:space="preserve">. </w:t>
      </w:r>
      <w:r>
        <w:t>Th</w:t>
      </w:r>
      <w:r w:rsidR="004A2B98">
        <w:t xml:space="preserve">e </w:t>
      </w:r>
      <w:r>
        <w:t>baseline model</w:t>
      </w:r>
      <w:r w:rsidR="004A2B98">
        <w:t xml:space="preserve">s </w:t>
      </w:r>
      <w:r>
        <w:t>use</w:t>
      </w:r>
      <w:r w:rsidR="00E948CD">
        <w:t>d</w:t>
      </w:r>
      <w:r>
        <w:t xml:space="preserve"> the 2019 Title </w:t>
      </w:r>
      <w:r w:rsidR="00213B06">
        <w:t>20 standard</w:t>
      </w:r>
      <w:r>
        <w:t xml:space="preserve"> </w:t>
      </w:r>
      <w:r w:rsidR="00B0224B">
        <w:t>67</w:t>
      </w:r>
      <w:r w:rsidR="004A2B98">
        <w:t>% AFUE</w:t>
      </w:r>
      <w:r w:rsidR="00B0224B">
        <w:t xml:space="preserve"> </w:t>
      </w:r>
      <w:r w:rsidR="00E948CD">
        <w:t xml:space="preserve">heating </w:t>
      </w:r>
      <w:r w:rsidR="004A2B98">
        <w:t xml:space="preserve">and </w:t>
      </w:r>
      <w:r w:rsidR="005E07C4">
        <w:t>10.4 EER</w:t>
      </w:r>
      <w:r>
        <w:t xml:space="preserve"> </w:t>
      </w:r>
      <w:r w:rsidR="00E948CD">
        <w:t xml:space="preserve">cooling efficiencies. </w:t>
      </w:r>
      <w:r>
        <w:t xml:space="preserve">The </w:t>
      </w:r>
      <w:r w:rsidR="00297A1F">
        <w:t xml:space="preserve">DEER2020 prototypes </w:t>
      </w:r>
      <w:r>
        <w:t xml:space="preserve">models were modified to simulate the </w:t>
      </w:r>
      <w:r w:rsidR="00297A1F">
        <w:t xml:space="preserve">base and </w:t>
      </w:r>
      <w:r>
        <w:t>measure case</w:t>
      </w:r>
      <w:bookmarkEnd w:id="40"/>
      <w:r>
        <w:t>, summarized in the table below</w:t>
      </w:r>
      <w:r w:rsidR="004A2B98">
        <w:t>.</w:t>
      </w:r>
    </w:p>
    <w:p w14:paraId="6B7B8E06" w14:textId="6DC8FA80" w:rsidR="00FA4C03" w:rsidRPr="004A2B98" w:rsidRDefault="00BC6270" w:rsidP="00E20381">
      <w:pPr>
        <w:pStyle w:val="FigureCaption"/>
        <w:rPr>
          <w:rStyle w:val="SubtleEmphasis"/>
          <w:i w:val="0"/>
          <w:iCs w:val="0"/>
          <w:color w:val="000000"/>
          <w14:textFill>
            <w14:solidFill>
              <w14:srgbClr w14:val="000000">
                <w14:lumMod w14:val="50000"/>
              </w14:srgbClr>
            </w14:solidFill>
          </w14:textFill>
        </w:rPr>
      </w:pPr>
      <w:r w:rsidRPr="00C01229">
        <w:t xml:space="preserve">Summary of </w:t>
      </w:r>
      <w:r>
        <w:t>Modifications for Measure Case Simulations</w:t>
      </w:r>
    </w:p>
    <w:tbl>
      <w:tblPr>
        <w:tblW w:w="954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600"/>
        <w:gridCol w:w="1980"/>
        <w:gridCol w:w="1710"/>
        <w:gridCol w:w="2250"/>
      </w:tblGrid>
      <w:tr w:rsidR="00FA4C03" w:rsidRPr="00FC33CE" w14:paraId="70CF0F6A" w14:textId="77777777" w:rsidTr="00E00D76">
        <w:trPr>
          <w:cantSplit/>
          <w:trHeight w:val="20"/>
          <w:tblHeader/>
        </w:trPr>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hideMark/>
          </w:tcPr>
          <w:p w14:paraId="260A5095" w14:textId="77777777" w:rsidR="00FA4C03" w:rsidRPr="00E51366" w:rsidRDefault="00FA4C03" w:rsidP="00DE6B25">
            <w:pPr>
              <w:jc w:val="center"/>
              <w:rPr>
                <w:b/>
                <w:sz w:val="20"/>
                <w:szCs w:val="22"/>
              </w:rPr>
            </w:pPr>
            <w:r w:rsidRPr="00E51366">
              <w:rPr>
                <w:b/>
                <w:sz w:val="20"/>
                <w:szCs w:val="22"/>
              </w:rPr>
              <w:t>Type (DOE2 Keyword Listed)</w:t>
            </w:r>
          </w:p>
        </w:tc>
        <w:tc>
          <w:tcPr>
            <w:tcW w:w="19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hideMark/>
          </w:tcPr>
          <w:p w14:paraId="74C23D37" w14:textId="77777777" w:rsidR="00FA4C03" w:rsidRPr="00E51366" w:rsidRDefault="00FA4C03" w:rsidP="00DE6B25">
            <w:pPr>
              <w:jc w:val="center"/>
              <w:rPr>
                <w:b/>
                <w:sz w:val="20"/>
                <w:szCs w:val="22"/>
              </w:rPr>
            </w:pPr>
            <w:r w:rsidRPr="00E51366">
              <w:rPr>
                <w:b/>
                <w:sz w:val="20"/>
                <w:szCs w:val="22"/>
              </w:rPr>
              <w:t>DEER Prototype Defaulted</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hideMark/>
          </w:tcPr>
          <w:p w14:paraId="5AB3660F" w14:textId="77777777" w:rsidR="00FA4C03" w:rsidRPr="00E51366" w:rsidRDefault="00FA4C03" w:rsidP="00DE6B25">
            <w:pPr>
              <w:jc w:val="center"/>
              <w:rPr>
                <w:b/>
                <w:sz w:val="20"/>
                <w:szCs w:val="22"/>
              </w:rPr>
            </w:pPr>
            <w:r w:rsidRPr="00E51366">
              <w:rPr>
                <w:b/>
                <w:sz w:val="20"/>
                <w:szCs w:val="22"/>
              </w:rPr>
              <w:t>Base Case</w:t>
            </w:r>
          </w:p>
        </w:tc>
        <w:tc>
          <w:tcPr>
            <w:tcW w:w="22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F5F29B0" w14:textId="77777777" w:rsidR="00FA4C03" w:rsidRPr="00E51366" w:rsidRDefault="00FA4C03" w:rsidP="00DE6B25">
            <w:pPr>
              <w:jc w:val="center"/>
              <w:rPr>
                <w:b/>
                <w:sz w:val="20"/>
                <w:szCs w:val="22"/>
              </w:rPr>
            </w:pPr>
            <w:r w:rsidRPr="00E51366">
              <w:rPr>
                <w:b/>
                <w:sz w:val="20"/>
                <w:szCs w:val="22"/>
              </w:rPr>
              <w:t>Measure Case</w:t>
            </w:r>
          </w:p>
        </w:tc>
      </w:tr>
      <w:tr w:rsidR="00FA4C03" w:rsidRPr="00C245E2" w14:paraId="6360539E" w14:textId="77777777" w:rsidTr="00E00D76">
        <w:trPr>
          <w:cantSplit/>
          <w:trHeight w:val="395"/>
        </w:trPr>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528F447A" w14:textId="26A6B5A9" w:rsidR="00FA4C03" w:rsidRPr="00E51366" w:rsidRDefault="003163F8" w:rsidP="00FA4C03">
            <w:pPr>
              <w:rPr>
                <w:sz w:val="18"/>
                <w:szCs w:val="18"/>
              </w:rPr>
            </w:pPr>
            <w:r>
              <w:rPr>
                <w:sz w:val="18"/>
                <w:szCs w:val="18"/>
              </w:rPr>
              <w:t>SYSTEM TYPE</w:t>
            </w:r>
            <w:r w:rsidR="00C36250" w:rsidRPr="00E51366">
              <w:rPr>
                <w:sz w:val="18"/>
                <w:szCs w:val="18"/>
              </w:rPr>
              <w:t xml:space="preserve"> (A)</w:t>
            </w:r>
          </w:p>
        </w:tc>
        <w:tc>
          <w:tcPr>
            <w:tcW w:w="19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D42D69C" w14:textId="7F275A68" w:rsidR="00FA4C03" w:rsidRPr="00E51366" w:rsidRDefault="00FA4C03" w:rsidP="00DE6B25">
            <w:pPr>
              <w:jc w:val="center"/>
              <w:rPr>
                <w:sz w:val="18"/>
                <w:szCs w:val="18"/>
              </w:rPr>
            </w:pPr>
            <w:r w:rsidRPr="00E51366">
              <w:rPr>
                <w:sz w:val="18"/>
                <w:szCs w:val="18"/>
              </w:rPr>
              <w:t>Pkdg Vol Var Temp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82FF3CA" w14:textId="55EF4E66" w:rsidR="00FA4C03" w:rsidRPr="00E51366" w:rsidRDefault="00FA4C03" w:rsidP="00DE6B25">
            <w:pPr>
              <w:jc w:val="center"/>
              <w:rPr>
                <w:sz w:val="18"/>
                <w:szCs w:val="18"/>
              </w:rPr>
            </w:pPr>
            <w:r w:rsidRPr="00E51366">
              <w:rPr>
                <w:sz w:val="18"/>
                <w:szCs w:val="18"/>
              </w:rPr>
              <w:t>Pkdg Vol Var Temp</w:t>
            </w:r>
          </w:p>
        </w:tc>
        <w:tc>
          <w:tcPr>
            <w:tcW w:w="22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2A8736A" w14:textId="6E8EFDD8" w:rsidR="00FA4C03" w:rsidRPr="00E51366" w:rsidRDefault="00FA4C03" w:rsidP="00DE6B25">
            <w:pPr>
              <w:jc w:val="center"/>
              <w:rPr>
                <w:sz w:val="18"/>
                <w:szCs w:val="18"/>
              </w:rPr>
            </w:pPr>
            <w:r w:rsidRPr="00E51366">
              <w:rPr>
                <w:sz w:val="18"/>
                <w:szCs w:val="18"/>
              </w:rPr>
              <w:t>Pkdg Vol Var Temp</w:t>
            </w:r>
          </w:p>
        </w:tc>
      </w:tr>
      <w:tr w:rsidR="00FA4C03" w:rsidRPr="00A4393C" w14:paraId="78F1FAF3" w14:textId="77777777" w:rsidTr="00E00D76">
        <w:trPr>
          <w:cantSplit/>
          <w:trHeight w:val="20"/>
        </w:trPr>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0174B163" w14:textId="482BFE9F" w:rsidR="00FA4C03" w:rsidRPr="00E51366" w:rsidRDefault="00184DB8" w:rsidP="00FA4C03">
            <w:pPr>
              <w:rPr>
                <w:sz w:val="18"/>
                <w:szCs w:val="18"/>
              </w:rPr>
            </w:pPr>
            <w:r w:rsidRPr="00E51366">
              <w:rPr>
                <w:sz w:val="18"/>
                <w:szCs w:val="18"/>
              </w:rPr>
              <w:t>SYSTEM:RETURN-AIR-PATH</w:t>
            </w:r>
            <w:r w:rsidRPr="00E51366" w:rsidDel="00184DB8">
              <w:rPr>
                <w:sz w:val="18"/>
                <w:szCs w:val="18"/>
              </w:rPr>
              <w:t xml:space="preserve"> </w:t>
            </w:r>
            <w:r w:rsidR="00C36250" w:rsidRPr="00E51366">
              <w:rPr>
                <w:sz w:val="18"/>
                <w:szCs w:val="18"/>
              </w:rPr>
              <w:t>(B)</w:t>
            </w:r>
          </w:p>
        </w:tc>
        <w:tc>
          <w:tcPr>
            <w:tcW w:w="19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4C5E666" w14:textId="5AD3EA15" w:rsidR="00FA4C03" w:rsidRPr="00E51366" w:rsidRDefault="0074768A" w:rsidP="00DE6B25">
            <w:pPr>
              <w:jc w:val="center"/>
              <w:rPr>
                <w:sz w:val="18"/>
                <w:szCs w:val="18"/>
              </w:rPr>
            </w:pPr>
            <w:r w:rsidRPr="00E51366">
              <w:rPr>
                <w:sz w:val="18"/>
                <w:szCs w:val="18"/>
              </w:rPr>
              <w:t>Duct</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724C32D" w14:textId="0EC81D0B" w:rsidR="00FA4C03" w:rsidRPr="00E51366" w:rsidRDefault="0074768A" w:rsidP="00DE6B25">
            <w:pPr>
              <w:jc w:val="center"/>
              <w:rPr>
                <w:sz w:val="18"/>
                <w:szCs w:val="18"/>
              </w:rPr>
            </w:pPr>
            <w:r w:rsidRPr="00E51366">
              <w:rPr>
                <w:sz w:val="18"/>
                <w:szCs w:val="18"/>
              </w:rPr>
              <w:t>Direct</w:t>
            </w:r>
          </w:p>
        </w:tc>
        <w:tc>
          <w:tcPr>
            <w:tcW w:w="22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8607EED" w14:textId="2E0EFAAD" w:rsidR="00FA4C03" w:rsidRPr="00E51366" w:rsidRDefault="0074768A" w:rsidP="00DE6B25">
            <w:pPr>
              <w:jc w:val="center"/>
              <w:rPr>
                <w:sz w:val="18"/>
                <w:szCs w:val="18"/>
              </w:rPr>
            </w:pPr>
            <w:r w:rsidRPr="00E51366">
              <w:rPr>
                <w:sz w:val="18"/>
                <w:szCs w:val="18"/>
              </w:rPr>
              <w:t>Direct</w:t>
            </w:r>
          </w:p>
        </w:tc>
      </w:tr>
      <w:tr w:rsidR="00FA4C03" w:rsidRPr="00A4393C" w14:paraId="44201E55" w14:textId="77777777" w:rsidTr="00E00D76">
        <w:trPr>
          <w:cantSplit/>
          <w:trHeight w:val="20"/>
        </w:trPr>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76352699" w14:textId="5C6A6175" w:rsidR="00FA4C03" w:rsidRPr="00E51366" w:rsidRDefault="00184DB8" w:rsidP="00FA4C03">
            <w:pPr>
              <w:rPr>
                <w:sz w:val="18"/>
                <w:szCs w:val="18"/>
              </w:rPr>
            </w:pPr>
            <w:r w:rsidRPr="00E51366">
              <w:rPr>
                <w:sz w:val="18"/>
                <w:szCs w:val="18"/>
              </w:rPr>
              <w:lastRenderedPageBreak/>
              <w:t>SYSTEM:DUCT-AIR-LOSS</w:t>
            </w:r>
            <w:r w:rsidRPr="00E51366" w:rsidDel="00184DB8">
              <w:rPr>
                <w:sz w:val="18"/>
                <w:szCs w:val="18"/>
              </w:rPr>
              <w:t xml:space="preserve"> </w:t>
            </w:r>
            <w:r w:rsidR="00F100A5" w:rsidRPr="00E51366">
              <w:rPr>
                <w:sz w:val="18"/>
                <w:szCs w:val="18"/>
              </w:rPr>
              <w:t>(B)</w:t>
            </w:r>
          </w:p>
        </w:tc>
        <w:tc>
          <w:tcPr>
            <w:tcW w:w="19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016B231" w14:textId="77777777" w:rsidR="00FA4C03" w:rsidRPr="00E51366" w:rsidRDefault="00FA4C03" w:rsidP="00DE6B25">
            <w:pPr>
              <w:jc w:val="center"/>
              <w:rPr>
                <w:sz w:val="18"/>
                <w:szCs w:val="18"/>
              </w:rPr>
            </w:pPr>
            <w:r w:rsidRPr="00E51366">
              <w:rPr>
                <w:sz w:val="18"/>
                <w:szCs w:val="18"/>
              </w:rPr>
              <w:t>0.15</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1BEF052" w14:textId="77777777" w:rsidR="00FA4C03" w:rsidRPr="00E51366" w:rsidRDefault="00FA4C03" w:rsidP="00DE6B25">
            <w:pPr>
              <w:jc w:val="center"/>
              <w:rPr>
                <w:sz w:val="18"/>
                <w:szCs w:val="18"/>
              </w:rPr>
            </w:pPr>
            <w:r w:rsidRPr="00E51366">
              <w:rPr>
                <w:sz w:val="18"/>
                <w:szCs w:val="18"/>
              </w:rPr>
              <w:t>0</w:t>
            </w:r>
          </w:p>
        </w:tc>
        <w:tc>
          <w:tcPr>
            <w:tcW w:w="22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51650A3" w14:textId="77777777" w:rsidR="00FA4C03" w:rsidRPr="00E51366" w:rsidRDefault="00FA4C03" w:rsidP="00DE6B25">
            <w:pPr>
              <w:jc w:val="center"/>
              <w:rPr>
                <w:sz w:val="18"/>
                <w:szCs w:val="18"/>
              </w:rPr>
            </w:pPr>
            <w:r w:rsidRPr="00E51366">
              <w:rPr>
                <w:sz w:val="18"/>
                <w:szCs w:val="18"/>
              </w:rPr>
              <w:t>0</w:t>
            </w:r>
          </w:p>
        </w:tc>
      </w:tr>
      <w:tr w:rsidR="00FA4C03" w:rsidRPr="00A4393C" w14:paraId="525AFCCA" w14:textId="77777777" w:rsidTr="00E00D76">
        <w:trPr>
          <w:cantSplit/>
          <w:trHeight w:val="20"/>
        </w:trPr>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1F3887A9" w14:textId="0EA55684" w:rsidR="00FA4C03" w:rsidRPr="00E51366" w:rsidRDefault="00184DB8" w:rsidP="00FA4C03">
            <w:pPr>
              <w:rPr>
                <w:sz w:val="18"/>
                <w:szCs w:val="18"/>
              </w:rPr>
            </w:pPr>
            <w:r w:rsidRPr="00E51366">
              <w:rPr>
                <w:sz w:val="18"/>
                <w:szCs w:val="18"/>
              </w:rPr>
              <w:t>SYSTEM:SUPPLY-KW/FLOW</w:t>
            </w:r>
            <w:r w:rsidRPr="00E51366" w:rsidDel="00184DB8">
              <w:rPr>
                <w:sz w:val="18"/>
                <w:szCs w:val="18"/>
              </w:rPr>
              <w:t xml:space="preserve"> </w:t>
            </w:r>
            <w:r w:rsidR="00F100A5" w:rsidRPr="00E51366">
              <w:rPr>
                <w:sz w:val="18"/>
                <w:szCs w:val="18"/>
              </w:rPr>
              <w:t>(C)</w:t>
            </w:r>
          </w:p>
        </w:tc>
        <w:tc>
          <w:tcPr>
            <w:tcW w:w="19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6B91DA2" w14:textId="77777777" w:rsidR="00FA4C03" w:rsidRPr="00E51366" w:rsidRDefault="00FA4C03" w:rsidP="00DE6B25">
            <w:pPr>
              <w:jc w:val="center"/>
              <w:rPr>
                <w:sz w:val="18"/>
                <w:szCs w:val="18"/>
              </w:rPr>
            </w:pPr>
            <w:r w:rsidRPr="00E51366">
              <w:rPr>
                <w:sz w:val="18"/>
                <w:szCs w:val="18"/>
              </w:rPr>
              <w:t>0.000652</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6B2B562" w14:textId="77777777" w:rsidR="00FA4C03" w:rsidRPr="00E51366" w:rsidRDefault="00FA4C03" w:rsidP="00DE6B25">
            <w:pPr>
              <w:jc w:val="center"/>
              <w:rPr>
                <w:sz w:val="18"/>
                <w:szCs w:val="18"/>
              </w:rPr>
            </w:pPr>
            <w:r w:rsidRPr="00E51366">
              <w:rPr>
                <w:sz w:val="18"/>
                <w:szCs w:val="18"/>
              </w:rPr>
              <w:t>0</w:t>
            </w:r>
          </w:p>
        </w:tc>
        <w:tc>
          <w:tcPr>
            <w:tcW w:w="22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0E528CC" w14:textId="77777777" w:rsidR="00FA4C03" w:rsidRPr="00E51366" w:rsidRDefault="00FA4C03" w:rsidP="00DE6B25">
            <w:pPr>
              <w:jc w:val="center"/>
              <w:rPr>
                <w:sz w:val="18"/>
                <w:szCs w:val="18"/>
              </w:rPr>
            </w:pPr>
            <w:r w:rsidRPr="00E51366">
              <w:rPr>
                <w:sz w:val="18"/>
                <w:szCs w:val="18"/>
              </w:rPr>
              <w:t>0</w:t>
            </w:r>
          </w:p>
        </w:tc>
      </w:tr>
      <w:tr w:rsidR="00FA4C03" w:rsidRPr="00A4393C" w14:paraId="48031801" w14:textId="77777777" w:rsidTr="00E00D76">
        <w:trPr>
          <w:cantSplit/>
          <w:trHeight w:val="20"/>
        </w:trPr>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07A0B3B1" w14:textId="04660C86" w:rsidR="00FA4C03" w:rsidRPr="00E51366" w:rsidRDefault="00184DB8" w:rsidP="00FA4C03">
            <w:pPr>
              <w:rPr>
                <w:sz w:val="18"/>
                <w:szCs w:val="18"/>
              </w:rPr>
            </w:pPr>
            <w:r w:rsidRPr="00E51366">
              <w:rPr>
                <w:sz w:val="18"/>
                <w:szCs w:val="18"/>
              </w:rPr>
              <w:t>SYSTEM:MIN-OUTSIDE-AIR</w:t>
            </w:r>
          </w:p>
        </w:tc>
        <w:tc>
          <w:tcPr>
            <w:tcW w:w="19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B1A4CC4" w14:textId="59FB159E" w:rsidR="00FA4C03" w:rsidRPr="00E51366" w:rsidRDefault="00184DB8" w:rsidP="00DE6B25">
            <w:pPr>
              <w:jc w:val="center"/>
              <w:rPr>
                <w:sz w:val="18"/>
                <w:szCs w:val="18"/>
              </w:rPr>
            </w:pPr>
            <w:r w:rsidRPr="00E51366">
              <w:rPr>
                <w:sz w:val="18"/>
                <w:szCs w:val="18"/>
              </w:rPr>
              <w:t>n/a</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AFFCF45" w14:textId="77777777" w:rsidR="00FA4C03" w:rsidRPr="00E51366" w:rsidRDefault="00FA4C03" w:rsidP="00DE6B25">
            <w:pPr>
              <w:jc w:val="center"/>
              <w:rPr>
                <w:sz w:val="18"/>
                <w:szCs w:val="18"/>
              </w:rPr>
            </w:pPr>
            <w:r w:rsidRPr="00E51366">
              <w:rPr>
                <w:sz w:val="18"/>
                <w:szCs w:val="18"/>
              </w:rPr>
              <w:t>0</w:t>
            </w:r>
          </w:p>
        </w:tc>
        <w:tc>
          <w:tcPr>
            <w:tcW w:w="22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2BF82A0" w14:textId="77777777" w:rsidR="00FA4C03" w:rsidRPr="00E51366" w:rsidRDefault="00FA4C03" w:rsidP="00DE6B25">
            <w:pPr>
              <w:jc w:val="center"/>
              <w:rPr>
                <w:sz w:val="18"/>
                <w:szCs w:val="18"/>
              </w:rPr>
            </w:pPr>
            <w:r w:rsidRPr="00E51366">
              <w:rPr>
                <w:sz w:val="18"/>
                <w:szCs w:val="18"/>
              </w:rPr>
              <w:t>0</w:t>
            </w:r>
          </w:p>
        </w:tc>
      </w:tr>
      <w:tr w:rsidR="00FA4C03" w:rsidRPr="00A4393C" w14:paraId="60DA4C35" w14:textId="77777777" w:rsidTr="00E00D76">
        <w:trPr>
          <w:cantSplit/>
          <w:trHeight w:val="20"/>
        </w:trPr>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39BCBD13" w14:textId="7977690B" w:rsidR="00FA4C03" w:rsidRPr="00E51366" w:rsidRDefault="00184DB8" w:rsidP="00FA4C03">
            <w:pPr>
              <w:rPr>
                <w:sz w:val="18"/>
                <w:szCs w:val="18"/>
              </w:rPr>
            </w:pPr>
            <w:r w:rsidRPr="00E51366">
              <w:rPr>
                <w:sz w:val="18"/>
                <w:szCs w:val="18"/>
              </w:rPr>
              <w:t>SYSTEM:OA-CONTROL</w:t>
            </w:r>
            <w:r w:rsidRPr="00E51366" w:rsidDel="00184DB8">
              <w:rPr>
                <w:sz w:val="18"/>
                <w:szCs w:val="18"/>
              </w:rPr>
              <w:t xml:space="preserve"> </w:t>
            </w:r>
            <w:r w:rsidR="00F100A5" w:rsidRPr="00E51366">
              <w:rPr>
                <w:sz w:val="18"/>
                <w:szCs w:val="18"/>
              </w:rPr>
              <w:t>(D)</w:t>
            </w:r>
          </w:p>
        </w:tc>
        <w:tc>
          <w:tcPr>
            <w:tcW w:w="19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8AE4C29" w14:textId="771B1A42" w:rsidR="00FA4C03" w:rsidRPr="00E51366" w:rsidRDefault="00FA4C03" w:rsidP="00DE6B25">
            <w:pPr>
              <w:jc w:val="center"/>
              <w:rPr>
                <w:sz w:val="18"/>
                <w:szCs w:val="18"/>
              </w:rPr>
            </w:pPr>
            <w:r w:rsidRPr="00E51366">
              <w:rPr>
                <w:sz w:val="18"/>
                <w:szCs w:val="18"/>
              </w:rPr>
              <w:t>OA</w:t>
            </w:r>
            <w:r w:rsidR="0074768A" w:rsidRPr="00E51366">
              <w:rPr>
                <w:sz w:val="18"/>
                <w:szCs w:val="18"/>
              </w:rPr>
              <w:t xml:space="preserve"> Temperature</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1AC7498" w14:textId="65CB5221" w:rsidR="00FA4C03" w:rsidRPr="00E51366" w:rsidRDefault="0074768A" w:rsidP="00DE6B25">
            <w:pPr>
              <w:jc w:val="center"/>
              <w:rPr>
                <w:sz w:val="18"/>
                <w:szCs w:val="18"/>
              </w:rPr>
            </w:pPr>
            <w:r w:rsidRPr="00E51366">
              <w:rPr>
                <w:sz w:val="18"/>
                <w:szCs w:val="18"/>
              </w:rPr>
              <w:t>Fixed Fraction</w:t>
            </w:r>
          </w:p>
        </w:tc>
        <w:tc>
          <w:tcPr>
            <w:tcW w:w="22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001D1CD" w14:textId="441ABB71" w:rsidR="00FA4C03" w:rsidRPr="00E51366" w:rsidRDefault="0074768A" w:rsidP="00DE6B25">
            <w:pPr>
              <w:jc w:val="center"/>
              <w:rPr>
                <w:sz w:val="18"/>
                <w:szCs w:val="18"/>
              </w:rPr>
            </w:pPr>
            <w:r w:rsidRPr="00E51366">
              <w:rPr>
                <w:sz w:val="18"/>
                <w:szCs w:val="18"/>
              </w:rPr>
              <w:t>Fixed Fraction</w:t>
            </w:r>
          </w:p>
        </w:tc>
      </w:tr>
      <w:tr w:rsidR="00FA4C03" w:rsidRPr="00C245E2" w14:paraId="0E964B4F" w14:textId="77777777" w:rsidTr="00E00D76">
        <w:trPr>
          <w:cantSplit/>
          <w:trHeight w:val="20"/>
        </w:trPr>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31AA89F0" w14:textId="2429478D" w:rsidR="00FA4C03" w:rsidRPr="00E51366" w:rsidRDefault="00184DB8" w:rsidP="00FA4C03">
            <w:pPr>
              <w:rPr>
                <w:sz w:val="18"/>
                <w:szCs w:val="18"/>
              </w:rPr>
            </w:pPr>
            <w:r w:rsidRPr="00E51366">
              <w:rPr>
                <w:sz w:val="18"/>
                <w:szCs w:val="18"/>
              </w:rPr>
              <w:t>SYSTEM:COOLING-EIR</w:t>
            </w:r>
            <w:r w:rsidRPr="00E51366" w:rsidDel="00184DB8">
              <w:rPr>
                <w:sz w:val="18"/>
                <w:szCs w:val="18"/>
              </w:rPr>
              <w:t xml:space="preserve"> </w:t>
            </w:r>
            <w:r w:rsidR="00E51366">
              <w:rPr>
                <w:sz w:val="18"/>
                <w:szCs w:val="18"/>
              </w:rPr>
              <w:t xml:space="preserve"> (E)</w:t>
            </w:r>
          </w:p>
        </w:tc>
        <w:tc>
          <w:tcPr>
            <w:tcW w:w="19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67A871D" w14:textId="763B592E" w:rsidR="00FA4C03" w:rsidRPr="00E51366" w:rsidRDefault="00FA4C03" w:rsidP="00DE6B25">
            <w:pPr>
              <w:jc w:val="center"/>
              <w:rPr>
                <w:sz w:val="18"/>
                <w:szCs w:val="18"/>
              </w:rPr>
            </w:pPr>
            <w:r w:rsidRPr="00E51366">
              <w:rPr>
                <w:sz w:val="18"/>
                <w:szCs w:val="18"/>
              </w:rPr>
              <w:t>0.3</w:t>
            </w:r>
            <w:r w:rsidR="00ED3E53">
              <w:rPr>
                <w:sz w:val="18"/>
                <w:szCs w:val="18"/>
              </w:rPr>
              <w:t>28</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59E55F3" w14:textId="37F230E1" w:rsidR="00FA4C03" w:rsidRPr="00E51366" w:rsidRDefault="00720EB0" w:rsidP="00DE6B25">
            <w:pPr>
              <w:pStyle w:val="NoSpacing"/>
              <w:jc w:val="center"/>
              <w:rPr>
                <w:rFonts w:ascii="Calibri Light" w:eastAsiaTheme="minorEastAsia" w:hAnsi="Calibri Light"/>
                <w:sz w:val="18"/>
                <w:szCs w:val="18"/>
              </w:rPr>
            </w:pPr>
            <w:r>
              <w:rPr>
                <w:rFonts w:ascii="Calibri Light" w:eastAsiaTheme="minorEastAsia" w:hAnsi="Calibri Light"/>
                <w:sz w:val="18"/>
                <w:szCs w:val="18"/>
              </w:rPr>
              <w:t>0</w:t>
            </w:r>
            <w:r w:rsidR="00452320">
              <w:rPr>
                <w:rFonts w:ascii="Calibri Light" w:eastAsiaTheme="minorEastAsia" w:hAnsi="Calibri Light"/>
                <w:sz w:val="18"/>
                <w:szCs w:val="18"/>
              </w:rPr>
              <w:t>.31025</w:t>
            </w:r>
            <w:r w:rsidR="001C69AD">
              <w:rPr>
                <w:rFonts w:ascii="Calibri Light" w:eastAsiaTheme="minorEastAsia" w:hAnsi="Calibri Light"/>
                <w:sz w:val="18"/>
                <w:szCs w:val="18"/>
              </w:rPr>
              <w:t xml:space="preserve"> (11 EER)</w:t>
            </w:r>
          </w:p>
        </w:tc>
        <w:tc>
          <w:tcPr>
            <w:tcW w:w="22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6543334" w14:textId="6E1A48B9" w:rsidR="00FA4C03" w:rsidRPr="00E51366" w:rsidRDefault="00184DB8" w:rsidP="00DE6B25">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 xml:space="preserve">Tier 1: </w:t>
            </w:r>
            <w:r w:rsidR="00FA4C03" w:rsidRPr="00E51366">
              <w:rPr>
                <w:rFonts w:ascii="Calibri Light" w:eastAsiaTheme="minorEastAsia" w:hAnsi="Calibri Light"/>
                <w:sz w:val="18"/>
                <w:szCs w:val="18"/>
              </w:rPr>
              <w:t>0.</w:t>
            </w:r>
            <w:r w:rsidR="00452320">
              <w:rPr>
                <w:rFonts w:ascii="Calibri Light" w:eastAsiaTheme="minorEastAsia" w:hAnsi="Calibri Light"/>
                <w:sz w:val="18"/>
                <w:szCs w:val="18"/>
              </w:rPr>
              <w:t>29171</w:t>
            </w:r>
            <w:r w:rsidR="001C69AD">
              <w:rPr>
                <w:rFonts w:ascii="Calibri Light" w:eastAsiaTheme="minorEastAsia" w:hAnsi="Calibri Light"/>
                <w:sz w:val="18"/>
                <w:szCs w:val="18"/>
              </w:rPr>
              <w:t xml:space="preserve"> (15 SEER)</w:t>
            </w:r>
          </w:p>
          <w:p w14:paraId="6F31393D" w14:textId="11852062" w:rsidR="00FA4C03" w:rsidRPr="00E51366" w:rsidRDefault="00184DB8" w:rsidP="00DE6B25">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Tier 2:</w:t>
            </w:r>
            <w:r w:rsidR="005E07C4" w:rsidRPr="00E51366">
              <w:rPr>
                <w:rFonts w:ascii="Calibri Light" w:eastAsiaTheme="minorEastAsia" w:hAnsi="Calibri Light"/>
                <w:sz w:val="18"/>
                <w:szCs w:val="18"/>
              </w:rPr>
              <w:t xml:space="preserve"> </w:t>
            </w:r>
            <w:r w:rsidR="00452320">
              <w:rPr>
                <w:rFonts w:ascii="Calibri Light" w:eastAsiaTheme="minorEastAsia" w:hAnsi="Calibri Light"/>
                <w:sz w:val="18"/>
                <w:szCs w:val="18"/>
              </w:rPr>
              <w:t>0.27348</w:t>
            </w:r>
            <w:r w:rsidR="001C69AD">
              <w:rPr>
                <w:rFonts w:ascii="Calibri Light" w:eastAsiaTheme="minorEastAsia" w:hAnsi="Calibri Light"/>
                <w:sz w:val="18"/>
                <w:szCs w:val="18"/>
              </w:rPr>
              <w:t xml:space="preserve"> (16 SEER)</w:t>
            </w:r>
          </w:p>
          <w:p w14:paraId="573D2942" w14:textId="6D3A2630" w:rsidR="00FA4C03" w:rsidRPr="00E51366" w:rsidRDefault="00184DB8" w:rsidP="00DE6B25">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Tier 3:</w:t>
            </w:r>
            <w:r w:rsidR="005E07C4" w:rsidRPr="00E51366">
              <w:rPr>
                <w:rFonts w:ascii="Calibri Light" w:eastAsiaTheme="minorEastAsia" w:hAnsi="Calibri Light"/>
                <w:sz w:val="18"/>
                <w:szCs w:val="18"/>
              </w:rPr>
              <w:t xml:space="preserve"> </w:t>
            </w:r>
            <w:r w:rsidR="00FA4C03" w:rsidRPr="00E51366">
              <w:rPr>
                <w:rFonts w:ascii="Calibri Light" w:eastAsiaTheme="minorEastAsia" w:hAnsi="Calibri Light"/>
                <w:sz w:val="18"/>
                <w:szCs w:val="18"/>
              </w:rPr>
              <w:t>0.</w:t>
            </w:r>
            <w:r w:rsidR="00452320">
              <w:rPr>
                <w:rFonts w:ascii="Calibri Light" w:eastAsiaTheme="minorEastAsia" w:hAnsi="Calibri Light"/>
                <w:sz w:val="18"/>
                <w:szCs w:val="18"/>
              </w:rPr>
              <w:t>25739</w:t>
            </w:r>
            <w:r w:rsidR="001C69AD">
              <w:rPr>
                <w:rFonts w:ascii="Calibri Light" w:eastAsiaTheme="minorEastAsia" w:hAnsi="Calibri Light"/>
                <w:sz w:val="18"/>
                <w:szCs w:val="18"/>
              </w:rPr>
              <w:t xml:space="preserve"> (17 SEER)</w:t>
            </w:r>
          </w:p>
          <w:p w14:paraId="60649ADF" w14:textId="6AD7FD9D" w:rsidR="00FA4C03" w:rsidRPr="00E51366" w:rsidRDefault="00184DB8" w:rsidP="00DE6B25">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 xml:space="preserve">Tier 4: </w:t>
            </w:r>
            <w:r w:rsidR="00FA4C03" w:rsidRPr="00E51366">
              <w:rPr>
                <w:rFonts w:ascii="Calibri Light" w:eastAsiaTheme="minorEastAsia" w:hAnsi="Calibri Light"/>
                <w:sz w:val="18"/>
                <w:szCs w:val="18"/>
              </w:rPr>
              <w:t>0.2</w:t>
            </w:r>
            <w:r w:rsidRPr="00E51366">
              <w:rPr>
                <w:rFonts w:ascii="Calibri Light" w:eastAsiaTheme="minorEastAsia" w:hAnsi="Calibri Light"/>
                <w:sz w:val="18"/>
                <w:szCs w:val="18"/>
              </w:rPr>
              <w:t>4</w:t>
            </w:r>
            <w:r w:rsidR="00452320">
              <w:rPr>
                <w:rFonts w:ascii="Calibri Light" w:eastAsiaTheme="minorEastAsia" w:hAnsi="Calibri Light"/>
                <w:sz w:val="18"/>
                <w:szCs w:val="18"/>
              </w:rPr>
              <w:t>309</w:t>
            </w:r>
            <w:r w:rsidR="001C69AD">
              <w:rPr>
                <w:rFonts w:ascii="Calibri Light" w:eastAsiaTheme="minorEastAsia" w:hAnsi="Calibri Light"/>
                <w:sz w:val="18"/>
                <w:szCs w:val="18"/>
              </w:rPr>
              <w:t xml:space="preserve"> (18 SEER)</w:t>
            </w:r>
          </w:p>
        </w:tc>
      </w:tr>
      <w:tr w:rsidR="00FA4C03" w14:paraId="05F10E3C" w14:textId="77777777" w:rsidTr="00E00D76">
        <w:trPr>
          <w:cantSplit/>
          <w:trHeight w:val="20"/>
        </w:trPr>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36D3D790" w14:textId="0B72F504" w:rsidR="00FA4C03" w:rsidRPr="00E51366" w:rsidRDefault="00184DB8" w:rsidP="00FA4C03">
            <w:pPr>
              <w:rPr>
                <w:sz w:val="18"/>
                <w:szCs w:val="18"/>
              </w:rPr>
            </w:pPr>
            <w:r w:rsidRPr="00E51366">
              <w:rPr>
                <w:sz w:val="18"/>
                <w:szCs w:val="18"/>
              </w:rPr>
              <w:t>SYSTEM:HEAT-SOURCE</w:t>
            </w:r>
          </w:p>
        </w:tc>
        <w:tc>
          <w:tcPr>
            <w:tcW w:w="19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8017C30" w14:textId="542E6036" w:rsidR="00FA4C03" w:rsidRPr="00E51366" w:rsidRDefault="0074768A" w:rsidP="00DE6B25">
            <w:pPr>
              <w:jc w:val="center"/>
              <w:rPr>
                <w:sz w:val="18"/>
                <w:szCs w:val="18"/>
              </w:rPr>
            </w:pPr>
            <w:r w:rsidRPr="00E51366">
              <w:rPr>
                <w:sz w:val="18"/>
                <w:szCs w:val="18"/>
              </w:rPr>
              <w:t>Furnace</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C062536" w14:textId="122DD595" w:rsidR="00FA4C03" w:rsidRPr="00E51366" w:rsidRDefault="0074768A" w:rsidP="00DE6B25">
            <w:pPr>
              <w:jc w:val="center"/>
              <w:rPr>
                <w:sz w:val="18"/>
                <w:szCs w:val="18"/>
              </w:rPr>
            </w:pPr>
            <w:r w:rsidRPr="00E51366">
              <w:rPr>
                <w:sz w:val="18"/>
                <w:szCs w:val="18"/>
              </w:rPr>
              <w:t>Furnace</w:t>
            </w:r>
          </w:p>
        </w:tc>
        <w:tc>
          <w:tcPr>
            <w:tcW w:w="22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2CE787C" w14:textId="03676011" w:rsidR="00FA4C03" w:rsidRPr="00E51366" w:rsidRDefault="0074768A" w:rsidP="00DE6B25">
            <w:pPr>
              <w:jc w:val="center"/>
              <w:rPr>
                <w:sz w:val="18"/>
                <w:szCs w:val="18"/>
              </w:rPr>
            </w:pPr>
            <w:r w:rsidRPr="00E51366">
              <w:rPr>
                <w:sz w:val="18"/>
                <w:szCs w:val="18"/>
              </w:rPr>
              <w:t>Heat Pump</w:t>
            </w:r>
          </w:p>
        </w:tc>
      </w:tr>
      <w:tr w:rsidR="00FA4C03" w14:paraId="2BD5B38D" w14:textId="77777777" w:rsidTr="00E00D76">
        <w:trPr>
          <w:cantSplit/>
          <w:trHeight w:val="20"/>
        </w:trPr>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0BBBB777" w14:textId="5189F609" w:rsidR="00FA4C03" w:rsidRPr="00E51366" w:rsidRDefault="00184DB8" w:rsidP="00FA4C03">
            <w:pPr>
              <w:rPr>
                <w:sz w:val="18"/>
                <w:szCs w:val="18"/>
              </w:rPr>
            </w:pPr>
            <w:r w:rsidRPr="00E51366">
              <w:rPr>
                <w:sz w:val="18"/>
                <w:szCs w:val="18"/>
              </w:rPr>
              <w:t>SYSTEM:FURNACE-HIR</w:t>
            </w:r>
          </w:p>
        </w:tc>
        <w:tc>
          <w:tcPr>
            <w:tcW w:w="19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B7A1564" w14:textId="77777777" w:rsidR="00FA4C03" w:rsidRPr="00E51366" w:rsidRDefault="00FA4C03" w:rsidP="00DE6B25">
            <w:pPr>
              <w:jc w:val="center"/>
              <w:rPr>
                <w:sz w:val="18"/>
                <w:szCs w:val="18"/>
              </w:rPr>
            </w:pPr>
            <w:r w:rsidRPr="00E51366">
              <w:rPr>
                <w:sz w:val="18"/>
                <w:szCs w:val="18"/>
              </w:rPr>
              <w:t>n/a</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352B530" w14:textId="7F172DAA" w:rsidR="00FA4C03" w:rsidRPr="00E51366" w:rsidRDefault="00FA4C03" w:rsidP="00E51366">
            <w:pPr>
              <w:pStyle w:val="NoSpacing"/>
              <w:jc w:val="center"/>
              <w:rPr>
                <w:rFonts w:ascii="Calibri Light" w:eastAsiaTheme="minorEastAsia" w:hAnsi="Calibri Light"/>
                <w:sz w:val="18"/>
                <w:szCs w:val="18"/>
              </w:rPr>
            </w:pPr>
            <w:r w:rsidRPr="00E51366">
              <w:rPr>
                <w:rFonts w:ascii="Calibri Light" w:eastAsiaTheme="minorEastAsia" w:hAnsi="Calibri Light"/>
                <w:sz w:val="18"/>
                <w:szCs w:val="18"/>
              </w:rPr>
              <w:t>1.</w:t>
            </w:r>
            <w:r w:rsidR="00452320">
              <w:rPr>
                <w:rFonts w:ascii="Calibri Light" w:eastAsiaTheme="minorEastAsia" w:hAnsi="Calibri Light"/>
                <w:sz w:val="18"/>
                <w:szCs w:val="18"/>
              </w:rPr>
              <w:t xml:space="preserve">33333 </w:t>
            </w:r>
            <w:r w:rsidR="004E0246">
              <w:rPr>
                <w:rFonts w:ascii="Calibri Light" w:eastAsiaTheme="minorEastAsia" w:hAnsi="Calibri Light"/>
                <w:sz w:val="18"/>
                <w:szCs w:val="18"/>
              </w:rPr>
              <w:t>(67% AFUE)</w:t>
            </w:r>
          </w:p>
        </w:tc>
        <w:tc>
          <w:tcPr>
            <w:tcW w:w="22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6FDA5FC" w14:textId="77777777" w:rsidR="00FA4C03" w:rsidRPr="00E51366" w:rsidRDefault="00FA4C03" w:rsidP="00DE6B25">
            <w:pPr>
              <w:pStyle w:val="NoSpacing"/>
              <w:jc w:val="center"/>
              <w:rPr>
                <w:rFonts w:ascii="Calibri Light" w:eastAsiaTheme="minorEastAsia" w:hAnsi="Calibri Light"/>
                <w:sz w:val="18"/>
                <w:szCs w:val="18"/>
              </w:rPr>
            </w:pPr>
            <w:r w:rsidRPr="00E51366">
              <w:rPr>
                <w:rFonts w:ascii="Calibri Light" w:eastAsiaTheme="minorEastAsia" w:hAnsi="Calibri Light"/>
                <w:sz w:val="18"/>
                <w:szCs w:val="18"/>
              </w:rPr>
              <w:t>n/a</w:t>
            </w:r>
          </w:p>
        </w:tc>
      </w:tr>
      <w:tr w:rsidR="00FA4C03" w:rsidRPr="00875562" w14:paraId="428DBC39" w14:textId="77777777" w:rsidTr="00E00D76">
        <w:trPr>
          <w:cantSplit/>
          <w:trHeight w:val="20"/>
        </w:trPr>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tcPr>
          <w:p w14:paraId="4055FD7E" w14:textId="174A4673" w:rsidR="00FA4C03" w:rsidRPr="00E51366" w:rsidRDefault="00184DB8" w:rsidP="00FA4C03">
            <w:pPr>
              <w:rPr>
                <w:sz w:val="18"/>
                <w:szCs w:val="18"/>
              </w:rPr>
            </w:pPr>
            <w:r w:rsidRPr="00E51366">
              <w:rPr>
                <w:sz w:val="18"/>
                <w:szCs w:val="18"/>
              </w:rPr>
              <w:t>SYSTEM:HEATING-EIR</w:t>
            </w:r>
            <w:r w:rsidR="00E51366">
              <w:rPr>
                <w:sz w:val="18"/>
                <w:szCs w:val="18"/>
              </w:rPr>
              <w:t xml:space="preserve"> (</w:t>
            </w:r>
            <w:r w:rsidR="003163F8">
              <w:rPr>
                <w:sz w:val="18"/>
                <w:szCs w:val="18"/>
              </w:rPr>
              <w:t>F</w:t>
            </w:r>
            <w:r w:rsidR="00E51366">
              <w:rPr>
                <w:sz w:val="18"/>
                <w:szCs w:val="18"/>
              </w:rPr>
              <w:t>)</w:t>
            </w:r>
          </w:p>
        </w:tc>
        <w:tc>
          <w:tcPr>
            <w:tcW w:w="19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DEA9960" w14:textId="77777777" w:rsidR="00FA4C03" w:rsidRPr="00E51366" w:rsidRDefault="00FA4C03" w:rsidP="00DE6B25">
            <w:pPr>
              <w:jc w:val="center"/>
              <w:rPr>
                <w:sz w:val="18"/>
                <w:szCs w:val="18"/>
              </w:rPr>
            </w:pPr>
            <w:r w:rsidRPr="00E51366">
              <w:rPr>
                <w:sz w:val="18"/>
                <w:szCs w:val="18"/>
              </w:rPr>
              <w:t>n/a</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C0AC01A" w14:textId="77777777" w:rsidR="00FA4C03" w:rsidRPr="00E51366" w:rsidRDefault="00FA4C03" w:rsidP="00DE6B25">
            <w:pPr>
              <w:pStyle w:val="NoSpacing"/>
              <w:jc w:val="center"/>
              <w:rPr>
                <w:rFonts w:ascii="Calibri Light" w:eastAsiaTheme="minorEastAsia" w:hAnsi="Calibri Light"/>
                <w:sz w:val="18"/>
                <w:szCs w:val="18"/>
              </w:rPr>
            </w:pPr>
            <w:r w:rsidRPr="00E51366">
              <w:rPr>
                <w:rFonts w:ascii="Calibri Light" w:eastAsiaTheme="minorEastAsia" w:hAnsi="Calibri Light"/>
                <w:sz w:val="18"/>
                <w:szCs w:val="18"/>
              </w:rPr>
              <w:t>n/a</w:t>
            </w:r>
          </w:p>
        </w:tc>
        <w:tc>
          <w:tcPr>
            <w:tcW w:w="22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06062C" w14:textId="1B549B53" w:rsidR="00184DB8" w:rsidRPr="00E51366" w:rsidRDefault="00184DB8" w:rsidP="00184DB8">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 xml:space="preserve">Tier 1: </w:t>
            </w:r>
            <w:r w:rsidRPr="00E51366">
              <w:rPr>
                <w:rFonts w:ascii="Calibri Light" w:eastAsiaTheme="minorEastAsia" w:hAnsi="Calibri Light"/>
                <w:sz w:val="18"/>
                <w:szCs w:val="18"/>
              </w:rPr>
              <w:t>0.</w:t>
            </w:r>
            <w:r w:rsidR="00452320">
              <w:rPr>
                <w:rFonts w:ascii="Calibri Light" w:eastAsiaTheme="minorEastAsia" w:hAnsi="Calibri Light"/>
                <w:sz w:val="18"/>
                <w:szCs w:val="18"/>
              </w:rPr>
              <w:t xml:space="preserve">29596 </w:t>
            </w:r>
            <w:r w:rsidR="003163F8">
              <w:rPr>
                <w:rFonts w:ascii="Calibri Light" w:eastAsiaTheme="minorEastAsia" w:hAnsi="Calibri Light"/>
                <w:sz w:val="18"/>
                <w:szCs w:val="18"/>
              </w:rPr>
              <w:t>(HSPF=8.</w:t>
            </w:r>
            <w:r w:rsidR="00452320">
              <w:rPr>
                <w:rFonts w:ascii="Calibri Light" w:eastAsiaTheme="minorEastAsia" w:hAnsi="Calibri Light"/>
                <w:sz w:val="18"/>
                <w:szCs w:val="18"/>
              </w:rPr>
              <w:t>7</w:t>
            </w:r>
            <w:r w:rsidR="003163F8">
              <w:rPr>
                <w:rFonts w:ascii="Calibri Light" w:eastAsiaTheme="minorEastAsia" w:hAnsi="Calibri Light"/>
                <w:sz w:val="18"/>
                <w:szCs w:val="18"/>
              </w:rPr>
              <w:t>)</w:t>
            </w:r>
          </w:p>
          <w:p w14:paraId="6C27C5BC" w14:textId="53E88874" w:rsidR="00184DB8" w:rsidRPr="00E51366" w:rsidRDefault="00184DB8" w:rsidP="00184DB8">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Tier 2:</w:t>
            </w:r>
            <w:r w:rsidRPr="00E51366">
              <w:rPr>
                <w:rFonts w:ascii="Calibri Light" w:eastAsiaTheme="minorEastAsia" w:hAnsi="Calibri Light"/>
                <w:sz w:val="18"/>
                <w:szCs w:val="18"/>
              </w:rPr>
              <w:t xml:space="preserve"> 0.</w:t>
            </w:r>
            <w:r w:rsidR="00452320">
              <w:rPr>
                <w:rFonts w:ascii="Calibri Light" w:eastAsiaTheme="minorEastAsia" w:hAnsi="Calibri Light"/>
                <w:sz w:val="18"/>
                <w:szCs w:val="18"/>
              </w:rPr>
              <w:t xml:space="preserve">28571 </w:t>
            </w:r>
            <w:r w:rsidR="003163F8">
              <w:rPr>
                <w:rFonts w:ascii="Calibri Light" w:eastAsiaTheme="minorEastAsia" w:hAnsi="Calibri Light"/>
                <w:sz w:val="18"/>
                <w:szCs w:val="18"/>
              </w:rPr>
              <w:t>(HSPF=</w:t>
            </w:r>
            <w:r w:rsidR="00452320">
              <w:rPr>
                <w:rFonts w:ascii="Calibri Light" w:eastAsiaTheme="minorEastAsia" w:hAnsi="Calibri Light"/>
                <w:sz w:val="18"/>
                <w:szCs w:val="18"/>
              </w:rPr>
              <w:t>9.0</w:t>
            </w:r>
            <w:r w:rsidR="003163F8">
              <w:rPr>
                <w:rFonts w:ascii="Calibri Light" w:eastAsiaTheme="minorEastAsia" w:hAnsi="Calibri Light"/>
                <w:sz w:val="18"/>
                <w:szCs w:val="18"/>
              </w:rPr>
              <w:t>)</w:t>
            </w:r>
          </w:p>
          <w:p w14:paraId="4CD9B1F6" w14:textId="4CA3BDAF" w:rsidR="00184DB8" w:rsidRPr="00E51366" w:rsidRDefault="00184DB8" w:rsidP="00184DB8">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Tier 3:</w:t>
            </w:r>
            <w:r w:rsidRPr="00E51366">
              <w:rPr>
                <w:rFonts w:ascii="Calibri Light" w:eastAsiaTheme="minorEastAsia" w:hAnsi="Calibri Light"/>
                <w:sz w:val="18"/>
                <w:szCs w:val="18"/>
              </w:rPr>
              <w:t xml:space="preserve"> 0.</w:t>
            </w:r>
            <w:r w:rsidR="00452320">
              <w:rPr>
                <w:rFonts w:ascii="Calibri Light" w:eastAsiaTheme="minorEastAsia" w:hAnsi="Calibri Light"/>
                <w:sz w:val="18"/>
                <w:szCs w:val="18"/>
              </w:rPr>
              <w:t xml:space="preserve">27355 </w:t>
            </w:r>
            <w:r w:rsidR="003163F8">
              <w:rPr>
                <w:rFonts w:ascii="Calibri Light" w:eastAsiaTheme="minorEastAsia" w:hAnsi="Calibri Light"/>
                <w:sz w:val="18"/>
                <w:szCs w:val="18"/>
              </w:rPr>
              <w:t>(HSPF=</w:t>
            </w:r>
            <w:r w:rsidR="00452320">
              <w:rPr>
                <w:rFonts w:ascii="Calibri Light" w:eastAsiaTheme="minorEastAsia" w:hAnsi="Calibri Light"/>
                <w:sz w:val="18"/>
                <w:szCs w:val="18"/>
              </w:rPr>
              <w:t>9.4</w:t>
            </w:r>
            <w:r w:rsidR="003163F8">
              <w:rPr>
                <w:rFonts w:ascii="Calibri Light" w:eastAsiaTheme="minorEastAsia" w:hAnsi="Calibri Light"/>
                <w:sz w:val="18"/>
                <w:szCs w:val="18"/>
              </w:rPr>
              <w:t>)</w:t>
            </w:r>
          </w:p>
          <w:p w14:paraId="4D048C78" w14:textId="7BC949B9" w:rsidR="00FA4C03" w:rsidRPr="00E51366" w:rsidRDefault="00184DB8" w:rsidP="00DE6B25">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 xml:space="preserve">Tier 4: </w:t>
            </w:r>
            <w:r w:rsidRPr="00E51366">
              <w:rPr>
                <w:rFonts w:ascii="Calibri Light" w:eastAsiaTheme="minorEastAsia" w:hAnsi="Calibri Light"/>
                <w:sz w:val="18"/>
                <w:szCs w:val="18"/>
              </w:rPr>
              <w:t>0.</w:t>
            </w:r>
            <w:r w:rsidR="00452320">
              <w:rPr>
                <w:rFonts w:ascii="Calibri Light" w:eastAsiaTheme="minorEastAsia" w:hAnsi="Calibri Light"/>
                <w:sz w:val="18"/>
                <w:szCs w:val="18"/>
              </w:rPr>
              <w:t xml:space="preserve">26509 </w:t>
            </w:r>
            <w:r w:rsidR="003163F8">
              <w:rPr>
                <w:rFonts w:ascii="Calibri Light" w:eastAsiaTheme="minorEastAsia" w:hAnsi="Calibri Light"/>
                <w:sz w:val="18"/>
                <w:szCs w:val="18"/>
              </w:rPr>
              <w:t>(HSPF=9.</w:t>
            </w:r>
            <w:r w:rsidR="00452320">
              <w:rPr>
                <w:rFonts w:ascii="Calibri Light" w:eastAsiaTheme="minorEastAsia" w:hAnsi="Calibri Light"/>
                <w:sz w:val="18"/>
                <w:szCs w:val="18"/>
              </w:rPr>
              <w:t>7</w:t>
            </w:r>
            <w:r w:rsidR="003163F8">
              <w:rPr>
                <w:rFonts w:ascii="Calibri Light" w:eastAsiaTheme="minorEastAsia" w:hAnsi="Calibri Light"/>
                <w:sz w:val="18"/>
                <w:szCs w:val="18"/>
              </w:rPr>
              <w:t>)</w:t>
            </w:r>
          </w:p>
        </w:tc>
      </w:tr>
    </w:tbl>
    <w:p w14:paraId="41ED8082" w14:textId="77777777" w:rsidR="00FA4C03" w:rsidRDefault="00FA4C03" w:rsidP="00B13E72">
      <w:pPr>
        <w:pStyle w:val="NoSpacing"/>
        <w:jc w:val="both"/>
        <w:rPr>
          <w:rFonts w:ascii="Calibri Light" w:hAnsi="Calibri Light" w:cs="Calibri Light"/>
          <w:b/>
          <w:color w:val="FF0000"/>
        </w:rPr>
      </w:pPr>
    </w:p>
    <w:p w14:paraId="0AD4F966" w14:textId="70B52195" w:rsidR="007C5AE9" w:rsidRDefault="004E0246" w:rsidP="00DE6B25">
      <w:pPr>
        <w:jc w:val="both"/>
      </w:pPr>
      <w:r>
        <w:t>A</w:t>
      </w:r>
      <w:r w:rsidR="007C5AE9">
        <w:t xml:space="preserve">dditional notes regarding the prototype </w:t>
      </w:r>
      <w:r>
        <w:t>adjustments</w:t>
      </w:r>
      <w:r w:rsidR="007C5AE9">
        <w:t xml:space="preserve">: </w:t>
      </w:r>
    </w:p>
    <w:p w14:paraId="20A635BC" w14:textId="5FD2C00C" w:rsidR="007C5AE9" w:rsidRPr="00654D16" w:rsidRDefault="007C5AE9" w:rsidP="00E51366">
      <w:pPr>
        <w:pStyle w:val="ListParagraph"/>
        <w:numPr>
          <w:ilvl w:val="0"/>
          <w:numId w:val="39"/>
        </w:numPr>
        <w:jc w:val="both"/>
      </w:pPr>
      <w:r w:rsidRPr="00F100A5">
        <w:rPr>
          <w:u w:val="single"/>
        </w:rPr>
        <w:t>System Type</w:t>
      </w:r>
      <w:r w:rsidRPr="00654D16">
        <w:t xml:space="preserve"> of Packaged Volume Variable Temperature </w:t>
      </w:r>
      <w:r w:rsidR="007E2053" w:rsidRPr="00654D16">
        <w:t xml:space="preserve">(PVVT) </w:t>
      </w:r>
      <w:r w:rsidRPr="00654D16">
        <w:t>was selected for the base and measure case because</w:t>
      </w:r>
      <w:r w:rsidR="007E2053" w:rsidRPr="00654D16">
        <w:t xml:space="preserve"> DEER prototypes are set-up as </w:t>
      </w:r>
      <w:r w:rsidR="00C06552" w:rsidRPr="00654D16">
        <w:t>a single</w:t>
      </w:r>
      <w:r w:rsidR="007E2053" w:rsidRPr="00654D16">
        <w:t xml:space="preserve"> zone and PVVT</w:t>
      </w:r>
      <w:r w:rsidRPr="00654D16">
        <w:t xml:space="preserve"> is the default </w:t>
      </w:r>
      <w:r w:rsidR="007E2053" w:rsidRPr="00654D16">
        <w:t xml:space="preserve">DOE2 </w:t>
      </w:r>
      <w:r w:rsidRPr="00654D16">
        <w:t>system</w:t>
      </w:r>
      <w:r w:rsidR="00193D5D" w:rsidRPr="00654D16">
        <w:t xml:space="preserve"> type</w:t>
      </w:r>
      <w:r w:rsidRPr="00654D16">
        <w:t xml:space="preserve"> in DEER Residential prototypes</w:t>
      </w:r>
      <w:r w:rsidR="007E2053" w:rsidRPr="00654D16">
        <w:t xml:space="preserve"> that closely replicates a single zone unit</w:t>
      </w:r>
      <w:r w:rsidRPr="00654D16">
        <w:t xml:space="preserve">. </w:t>
      </w:r>
      <w:r w:rsidR="00921869" w:rsidRPr="00654D16">
        <w:t xml:space="preserve">The </w:t>
      </w:r>
      <w:r w:rsidR="003E75C5" w:rsidRPr="00654D16">
        <w:t xml:space="preserve">system type </w:t>
      </w:r>
      <w:r w:rsidR="0030170B">
        <w:t>was</w:t>
      </w:r>
      <w:r w:rsidR="003E75C5" w:rsidRPr="00654D16">
        <w:t xml:space="preserve"> assumed to be operating at significant partial load hours since all spaces will not be occupied at the same time.</w:t>
      </w:r>
      <w:r w:rsidR="0030170B">
        <w:t xml:space="preserve"> </w:t>
      </w:r>
      <w:r w:rsidR="00921869" w:rsidRPr="00654D16">
        <w:t>When comparing the annual space cooling energy consumption for PVVT with the Residential Appliance Saturation Study (RASS)</w:t>
      </w:r>
      <w:r w:rsidR="009A1E83">
        <w:rPr>
          <w:rStyle w:val="FootnoteReference"/>
        </w:rPr>
        <w:footnoteReference w:id="9"/>
      </w:r>
      <w:r w:rsidR="00921869" w:rsidRPr="00654D16">
        <w:t xml:space="preserve"> space cooling electric UEC for a room AC, the UEC for PVVT was only 3% higher. When modeling the DEER prototypes as a Packaged Single Zone (PSZ), the UEC for PSZ was 60% higher than the RASS data. </w:t>
      </w:r>
      <w:r w:rsidR="00E5209D" w:rsidRPr="00654D16">
        <w:t>PVVT performed better at partial load</w:t>
      </w:r>
      <w:r w:rsidR="00E5209D">
        <w:t xml:space="preserve">. </w:t>
      </w:r>
      <w:r w:rsidR="00921869" w:rsidRPr="00654D16">
        <w:t>Modeling the entire building type as a PSZ significantly overestimated the cooling energy usage.</w:t>
      </w:r>
      <w:r w:rsidR="0030170B" w:rsidRPr="00654D16">
        <w:t xml:space="preserve"> </w:t>
      </w:r>
      <w:r w:rsidRPr="00654D16">
        <w:t xml:space="preserve">The additional updates below are made in attempt to adjust parameters to model the desired unit types. </w:t>
      </w:r>
    </w:p>
    <w:p w14:paraId="38603886" w14:textId="77777777" w:rsidR="002D2DEA" w:rsidRPr="00FB4D03" w:rsidRDefault="002D2DEA" w:rsidP="002D2DEA">
      <w:pPr>
        <w:pStyle w:val="ListParagraph"/>
        <w:jc w:val="both"/>
      </w:pPr>
    </w:p>
    <w:p w14:paraId="11C879AA" w14:textId="6B905E2B" w:rsidR="002D2DEA" w:rsidRDefault="007C5AE9" w:rsidP="00E51366">
      <w:pPr>
        <w:pStyle w:val="ListParagraph"/>
        <w:numPr>
          <w:ilvl w:val="0"/>
          <w:numId w:val="39"/>
        </w:numPr>
        <w:jc w:val="both"/>
      </w:pPr>
      <w:r w:rsidRPr="002D2DEA">
        <w:rPr>
          <w:u w:val="single"/>
        </w:rPr>
        <w:t>Return Air Path</w:t>
      </w:r>
      <w:r>
        <w:t xml:space="preserve"> is set to Direct and </w:t>
      </w:r>
      <w:r w:rsidRPr="002D2DEA">
        <w:rPr>
          <w:u w:val="single"/>
        </w:rPr>
        <w:t>Duct Air Loss</w:t>
      </w:r>
      <w:r>
        <w:t xml:space="preserve"> is set to zero to simulate the equipment being in zone only. </w:t>
      </w:r>
    </w:p>
    <w:p w14:paraId="551E9860" w14:textId="77777777" w:rsidR="002D2DEA" w:rsidRPr="00FB4D03" w:rsidRDefault="002D2DEA" w:rsidP="002D2DEA">
      <w:pPr>
        <w:pStyle w:val="ListParagraph"/>
        <w:jc w:val="both"/>
      </w:pPr>
    </w:p>
    <w:p w14:paraId="0FD0E510" w14:textId="71DF18C4" w:rsidR="002D2DEA" w:rsidRDefault="007C5AE9" w:rsidP="00E51366">
      <w:pPr>
        <w:pStyle w:val="ListParagraph"/>
        <w:numPr>
          <w:ilvl w:val="0"/>
          <w:numId w:val="39"/>
        </w:numPr>
        <w:jc w:val="both"/>
      </w:pPr>
      <w:r w:rsidRPr="002D2DEA">
        <w:rPr>
          <w:u w:val="single"/>
        </w:rPr>
        <w:t>Fan Power kW/CFM</w:t>
      </w:r>
      <w:r>
        <w:t xml:space="preserve"> is set to zero because the total per unit efficiency for each system is captured in the unit EIRs and HIR values. Per DOE2 Help Files, “If you include fan electric energy consumption in your value of COOLING-EIR, then you should set SUPPLY-KW/FLOW to zero (and SUPPLY-STATIC should be omitted). Otherwise, the supply fan electrical energy will be double counted.”</w:t>
      </w:r>
      <w:r w:rsidR="00061786">
        <w:t xml:space="preserve"> Both base and measure case systems are ductless, thus this</w:t>
      </w:r>
      <w:r>
        <w:t xml:space="preserve"> also assumes any variation in static pressure between base and measure case equipment is not significant and</w:t>
      </w:r>
      <w:r w:rsidR="004F14AB">
        <w:t xml:space="preserve"> is</w:t>
      </w:r>
      <w:r>
        <w:t xml:space="preserve"> </w:t>
      </w:r>
      <w:r w:rsidR="004F14AB">
        <w:t>considered</w:t>
      </w:r>
      <w:r>
        <w:t xml:space="preserve"> </w:t>
      </w:r>
      <w:r w:rsidR="004F14AB">
        <w:t xml:space="preserve">as part of </w:t>
      </w:r>
      <w:r>
        <w:t xml:space="preserve">the </w:t>
      </w:r>
      <w:r>
        <w:lastRenderedPageBreak/>
        <w:t>EIR/HIR values.</w:t>
      </w:r>
      <w:r w:rsidR="00C2075F">
        <w:t xml:space="preserve">  Note that static pressure on both Ductless and Window AC systems are generally very low, e.g., less than 0.10 inch of WC.  </w:t>
      </w:r>
      <w:r>
        <w:t xml:space="preserve"> </w:t>
      </w:r>
    </w:p>
    <w:p w14:paraId="5BF05C92" w14:textId="77777777" w:rsidR="002D2DEA" w:rsidRDefault="002D2DEA" w:rsidP="002D2DEA">
      <w:pPr>
        <w:pStyle w:val="ListParagraph"/>
      </w:pPr>
    </w:p>
    <w:p w14:paraId="433B9068" w14:textId="02C0633C" w:rsidR="002D2DEA" w:rsidRDefault="007C5AE9" w:rsidP="00E51366">
      <w:pPr>
        <w:pStyle w:val="ListParagraph"/>
        <w:numPr>
          <w:ilvl w:val="0"/>
          <w:numId w:val="39"/>
        </w:numPr>
        <w:jc w:val="both"/>
      </w:pPr>
      <w:r w:rsidRPr="002D2DEA">
        <w:rPr>
          <w:u w:val="single"/>
        </w:rPr>
        <w:t>Outside Air Control</w:t>
      </w:r>
      <w:r>
        <w:t xml:space="preserve"> is set to Fixed Fraction and the </w:t>
      </w:r>
      <w:r w:rsidRPr="00DE6B25">
        <w:t>Minimum Outside Air Ratio</w:t>
      </w:r>
      <w:r>
        <w:t xml:space="preserve"> set to zero to simulate that neither the baseline </w:t>
      </w:r>
      <w:r w:rsidR="001C69AD">
        <w:t>n</w:t>
      </w:r>
      <w:r>
        <w:t xml:space="preserve">or measure case systems bring in outside air. </w:t>
      </w:r>
    </w:p>
    <w:p w14:paraId="791C868E" w14:textId="77777777" w:rsidR="002D2DEA" w:rsidRDefault="002D2DEA" w:rsidP="002D2DEA">
      <w:pPr>
        <w:pStyle w:val="ListParagraph"/>
        <w:jc w:val="both"/>
      </w:pPr>
    </w:p>
    <w:p w14:paraId="51DD7808" w14:textId="57500ED1" w:rsidR="00E51366" w:rsidRDefault="00A87F91">
      <w:pPr>
        <w:pStyle w:val="ListParagraph"/>
        <w:numPr>
          <w:ilvl w:val="0"/>
          <w:numId w:val="39"/>
        </w:numPr>
        <w:jc w:val="both"/>
      </w:pPr>
      <w:r w:rsidRPr="00F922D7">
        <w:rPr>
          <w:u w:val="single"/>
        </w:rPr>
        <w:t>SEER</w:t>
      </w:r>
      <w:r w:rsidR="0030170B" w:rsidRPr="00F922D7">
        <w:t xml:space="preserve"> </w:t>
      </w:r>
      <w:r w:rsidR="0074768A">
        <w:t xml:space="preserve">calculated in eQuest </w:t>
      </w:r>
      <w:r w:rsidR="00A24339">
        <w:t>includes</w:t>
      </w:r>
      <w:r w:rsidRPr="00F922D7">
        <w:t xml:space="preserve"> </w:t>
      </w:r>
      <w:r w:rsidR="0074768A">
        <w:t xml:space="preserve">an assumption of fan power. However, per </w:t>
      </w:r>
      <w:r w:rsidR="005C5B83">
        <w:t>A</w:t>
      </w:r>
      <w:r w:rsidR="0074768A" w:rsidRPr="0074768A">
        <w:t>HRI standard 210/240</w:t>
      </w:r>
      <w:r w:rsidR="005C5B83">
        <w:rPr>
          <w:rStyle w:val="FootnoteReference"/>
        </w:rPr>
        <w:footnoteReference w:id="10"/>
      </w:r>
      <w:r w:rsidR="0074768A" w:rsidRPr="0074768A">
        <w:t xml:space="preserve"> and DOE CFR 42</w:t>
      </w:r>
      <w:r w:rsidR="000B2933">
        <w:t>9</w:t>
      </w:r>
      <w:r w:rsidR="0074768A" w:rsidRPr="0074768A">
        <w:t>.16</w:t>
      </w:r>
      <w:r w:rsidR="005C5B83">
        <w:rPr>
          <w:rStyle w:val="FootnoteReference"/>
        </w:rPr>
        <w:footnoteReference w:id="11"/>
      </w:r>
      <w:r w:rsidR="0074768A">
        <w:t>, split system SEERs are always tested with an indoor unit. Therefore, calculations converting SEER/EER to</w:t>
      </w:r>
      <w:r w:rsidR="007F7FD4" w:rsidRPr="00F922D7">
        <w:t xml:space="preserve"> </w:t>
      </w:r>
      <w:r w:rsidR="0030170B" w:rsidRPr="00F922D7">
        <w:rPr>
          <w:u w:val="single"/>
        </w:rPr>
        <w:t>Cooling EIR</w:t>
      </w:r>
      <w:r w:rsidR="0074768A">
        <w:rPr>
          <w:u w:val="single"/>
        </w:rPr>
        <w:t xml:space="preserve"> </w:t>
      </w:r>
      <w:r w:rsidR="0074768A">
        <w:t>is calculated without additional fan power assumptions</w:t>
      </w:r>
      <w:r w:rsidR="003B4398" w:rsidRPr="00F922D7">
        <w:t>.</w:t>
      </w:r>
      <w:r w:rsidR="0074768A">
        <w:t xml:space="preserve"> </w:t>
      </w:r>
      <w:r w:rsidR="00962A80">
        <w:t xml:space="preserve">EIR values were </w:t>
      </w:r>
      <w:r w:rsidR="006C4601">
        <w:t>calculated using the methodology from</w:t>
      </w:r>
      <w:r w:rsidR="00962A80">
        <w:t xml:space="preserve"> MASControl 3 TechData spreadsheet</w:t>
      </w:r>
      <w:r w:rsidR="007D108E">
        <w:rPr>
          <w:rStyle w:val="FootnoteReference"/>
        </w:rPr>
        <w:footnoteReference w:id="12"/>
      </w:r>
      <w:r w:rsidR="00962A80">
        <w:t xml:space="preserve"> for the applicable SEER values</w:t>
      </w:r>
      <w:r w:rsidR="006C4601">
        <w:t xml:space="preserve"> assuming that the kW/CFM was equal to zero</w:t>
      </w:r>
      <w:r w:rsidR="00962A80">
        <w:t xml:space="preserve">. </w:t>
      </w:r>
      <w:r w:rsidR="00962A80" w:rsidRPr="00962A80">
        <w:t xml:space="preserve"> The SEER to EER conversion for SEER 15 </w:t>
      </w:r>
      <w:r w:rsidR="00B5340F">
        <w:t xml:space="preserve">IDs </w:t>
      </w:r>
      <w:r w:rsidR="00962A80" w:rsidRPr="00962A80">
        <w:t xml:space="preserve">was </w:t>
      </w:r>
      <w:r w:rsidR="005F36E5">
        <w:t xml:space="preserve">also </w:t>
      </w:r>
      <w:r w:rsidR="00962A80" w:rsidRPr="00962A80">
        <w:t>revised to be consistent with the SEER</w:t>
      </w:r>
      <w:r w:rsidR="006C4601">
        <w:t xml:space="preserve"> </w:t>
      </w:r>
      <w:r w:rsidR="00962A80" w:rsidRPr="00962A80">
        <w:t>16</w:t>
      </w:r>
      <w:r w:rsidR="006C4601">
        <w:t xml:space="preserve"> and above </w:t>
      </w:r>
      <w:r w:rsidR="00962A80" w:rsidRPr="00962A80">
        <w:t xml:space="preserve">TechIDs in </w:t>
      </w:r>
      <w:r w:rsidR="005F36E5">
        <w:t>the</w:t>
      </w:r>
      <w:r w:rsidR="00962A80" w:rsidRPr="00962A80">
        <w:t xml:space="preserve"> TechData spreadsheet.  </w:t>
      </w:r>
    </w:p>
    <w:p w14:paraId="3852B348" w14:textId="77777777" w:rsidR="00E51366" w:rsidRDefault="00E51366" w:rsidP="00E51366">
      <w:pPr>
        <w:pStyle w:val="ListParagraph"/>
      </w:pPr>
    </w:p>
    <w:p w14:paraId="043E0A14" w14:textId="2CE52F62" w:rsidR="008A0511" w:rsidRDefault="00E51366" w:rsidP="00E51366">
      <w:pPr>
        <w:pStyle w:val="ListParagraph"/>
        <w:numPr>
          <w:ilvl w:val="0"/>
          <w:numId w:val="39"/>
        </w:numPr>
        <w:jc w:val="both"/>
      </w:pPr>
      <w:r w:rsidRPr="00AD642E">
        <w:rPr>
          <w:u w:val="single"/>
        </w:rPr>
        <w:t>HSPF</w:t>
      </w:r>
      <w:r>
        <w:t xml:space="preserve"> values were selected based on the </w:t>
      </w:r>
      <w:r w:rsidR="00962A80">
        <w:t xml:space="preserve">corresponding </w:t>
      </w:r>
      <w:r w:rsidR="00B5340F">
        <w:t xml:space="preserve">SEER </w:t>
      </w:r>
      <w:r w:rsidR="003163F8">
        <w:t xml:space="preserve">values for mini-split systems </w:t>
      </w:r>
      <w:r w:rsidR="00962A80">
        <w:t>in the MASControl 3 TechData spreadsheet.</w:t>
      </w:r>
      <w:r w:rsidR="007D108E">
        <w:rPr>
          <w:rStyle w:val="FootnoteReference"/>
        </w:rPr>
        <w:footnoteReference w:id="13"/>
      </w:r>
      <w:r w:rsidR="00962A80">
        <w:t xml:space="preserve"> </w:t>
      </w:r>
      <w:r w:rsidR="00267008">
        <w:t xml:space="preserve">HIR values were calculated using the methodology from MASControl 3 TechData spreadsheet for the applicable HSPF values assuming that the kW/CFM was equal to zero. </w:t>
      </w:r>
      <w:r w:rsidR="00962A80">
        <w:t xml:space="preserve">The </w:t>
      </w:r>
      <w:r w:rsidR="00962A80" w:rsidRPr="00962A80">
        <w:t>HSPF to COP conversion for SEER 15</w:t>
      </w:r>
      <w:r w:rsidR="00B5340F">
        <w:t xml:space="preserve"> IDS </w:t>
      </w:r>
      <w:r w:rsidR="00962A80" w:rsidRPr="00962A80">
        <w:t xml:space="preserve">was </w:t>
      </w:r>
      <w:r w:rsidR="005F36E5">
        <w:t xml:space="preserve">also </w:t>
      </w:r>
      <w:r w:rsidR="00962A80" w:rsidRPr="00962A80">
        <w:t>revised to be consistent with the SEER</w:t>
      </w:r>
      <w:r w:rsidR="006C4601">
        <w:t xml:space="preserve"> </w:t>
      </w:r>
      <w:r w:rsidR="00962A80" w:rsidRPr="00962A80">
        <w:t>16</w:t>
      </w:r>
      <w:r w:rsidR="006C4601">
        <w:t xml:space="preserve"> and above</w:t>
      </w:r>
      <w:r w:rsidR="00962A80" w:rsidRPr="00962A80">
        <w:t xml:space="preserve"> TechIDs in </w:t>
      </w:r>
      <w:r w:rsidR="005F36E5">
        <w:t xml:space="preserve">the </w:t>
      </w:r>
      <w:r w:rsidR="00962A80" w:rsidRPr="00962A80">
        <w:t xml:space="preserve">TechData spreadsheet.  </w:t>
      </w:r>
    </w:p>
    <w:p w14:paraId="2F20A151" w14:textId="77777777" w:rsidR="00267008" w:rsidRDefault="00267008" w:rsidP="00E00D76">
      <w:pPr>
        <w:pStyle w:val="ListParagraph"/>
      </w:pPr>
    </w:p>
    <w:p w14:paraId="23D60B42" w14:textId="07E5AE4F" w:rsidR="00267008" w:rsidRDefault="00267008" w:rsidP="00E51366">
      <w:pPr>
        <w:pStyle w:val="ListParagraph"/>
        <w:numPr>
          <w:ilvl w:val="0"/>
          <w:numId w:val="39"/>
        </w:numPr>
        <w:jc w:val="both"/>
      </w:pPr>
      <w:r w:rsidRPr="00E00D76">
        <w:rPr>
          <w:u w:val="single"/>
        </w:rPr>
        <w:t>HIR</w:t>
      </w:r>
      <w:r>
        <w:t xml:space="preserve"> values were calculated using the methodology from MASControl 3 TechData spreadsheet</w:t>
      </w:r>
      <w:r w:rsidR="007D108E">
        <w:rPr>
          <w:rStyle w:val="FootnoteReference"/>
        </w:rPr>
        <w:footnoteReference w:id="14"/>
      </w:r>
      <w:r w:rsidR="007D108E">
        <w:t xml:space="preserve"> for a 67% AFUE unit.</w:t>
      </w:r>
    </w:p>
    <w:p w14:paraId="795C61D6" w14:textId="47503136" w:rsidR="006C6848" w:rsidRDefault="00175EB4" w:rsidP="00DE6B25">
      <w:pPr>
        <w:jc w:val="both"/>
      </w:pPr>
      <w:r>
        <w:t>For the measure case without an existing AC load (i.e, SWHC044</w:t>
      </w:r>
      <w:r w:rsidR="00472B3E">
        <w:t>I, J, K</w:t>
      </w:r>
      <w:r>
        <w:t>,</w:t>
      </w:r>
      <w:r w:rsidR="00472B3E">
        <w:t xml:space="preserve"> </w:t>
      </w:r>
      <w:r>
        <w:t>L,</w:t>
      </w:r>
      <w:r w:rsidR="00472B3E">
        <w:t xml:space="preserve"> </w:t>
      </w:r>
      <w:r>
        <w:t>M,</w:t>
      </w:r>
      <w:r w:rsidR="00472B3E">
        <w:t xml:space="preserve"> </w:t>
      </w:r>
      <w:r>
        <w:t>N,</w:t>
      </w:r>
      <w:r w:rsidR="00472B3E">
        <w:t xml:space="preserve"> </w:t>
      </w:r>
      <w:r>
        <w:t xml:space="preserve">O and P) the analysis was done in the post processing phase after the models were run and is discussed in detail below.  </w:t>
      </w:r>
    </w:p>
    <w:p w14:paraId="6A7CD0BD" w14:textId="77777777" w:rsidR="00B5340F" w:rsidRPr="00DE6B25" w:rsidRDefault="00B5340F" w:rsidP="00DE6B25">
      <w:pPr>
        <w:jc w:val="both"/>
      </w:pPr>
    </w:p>
    <w:p w14:paraId="28410D48" w14:textId="77777777" w:rsidR="00F236D3" w:rsidRPr="00FE33C6" w:rsidRDefault="00F236D3" w:rsidP="00F236D3">
      <w:pPr>
        <w:pStyle w:val="eTRMHeading4"/>
      </w:pPr>
      <w:r w:rsidRPr="00E3049F">
        <w:t>Electric Unit Energy Savings</w:t>
      </w:r>
    </w:p>
    <w:p w14:paraId="02F222ED" w14:textId="1E32A0B6" w:rsidR="00182252" w:rsidRPr="00182252" w:rsidRDefault="00F236D3" w:rsidP="0002472B">
      <w:pPr>
        <w:jc w:val="both"/>
      </w:pPr>
      <w:r w:rsidRPr="00FE33C6">
        <w:t xml:space="preserve">Once the base case and measure case model simulations </w:t>
      </w:r>
      <w:r>
        <w:t xml:space="preserve">of energy consumption </w:t>
      </w:r>
      <w:r w:rsidRPr="00FE33C6">
        <w:t xml:space="preserve">were completed, the </w:t>
      </w:r>
      <w:r>
        <w:t xml:space="preserve">total </w:t>
      </w:r>
      <w:r w:rsidRPr="00FE33C6">
        <w:t xml:space="preserve">energy savings </w:t>
      </w:r>
      <w:r>
        <w:t>were</w:t>
      </w:r>
      <w:r w:rsidRPr="00FE33C6">
        <w:t xml:space="preserve"> </w:t>
      </w:r>
      <w:r>
        <w:t xml:space="preserve">calculated as the difference between </w:t>
      </w:r>
      <w:r w:rsidRPr="00FE33C6">
        <w:t xml:space="preserve">the </w:t>
      </w:r>
      <w:r>
        <w:t xml:space="preserve">modeled </w:t>
      </w:r>
      <w:r w:rsidRPr="00FE33C6">
        <w:t>total</w:t>
      </w:r>
      <w:r>
        <w:t xml:space="preserve"> (whole building)</w:t>
      </w:r>
      <w:r w:rsidRPr="00FE33C6">
        <w:t xml:space="preserve"> energy consumption of </w:t>
      </w:r>
      <w:r>
        <w:t>the base case and measure case</w:t>
      </w:r>
      <w:r w:rsidRPr="00FE33C6">
        <w:t xml:space="preserve"> models</w:t>
      </w:r>
      <w:r>
        <w:t>, as shown below</w:t>
      </w:r>
      <w:r w:rsidRPr="00FE33C6">
        <w:t xml:space="preserve">. The </w:t>
      </w:r>
      <w:r>
        <w:t>unit electric energy savings (kWh per year per ton)</w:t>
      </w:r>
      <w:r w:rsidRPr="00FE33C6">
        <w:t xml:space="preserve"> </w:t>
      </w:r>
      <w:r>
        <w:t>were</w:t>
      </w:r>
      <w:r w:rsidRPr="00FE33C6">
        <w:t xml:space="preserve"> calculated by dividing the total energy savings by the total </w:t>
      </w:r>
      <w:r>
        <w:t>building HVAC cooling capacity.</w:t>
      </w:r>
      <w:r w:rsidRPr="00FE33C6">
        <w:t xml:space="preserve"> </w:t>
      </w:r>
    </w:p>
    <w:p w14:paraId="4800E752" w14:textId="77777777" w:rsidR="00F236D3" w:rsidRPr="00F17780" w:rsidRDefault="00F236D3" w:rsidP="00AD642E">
      <w:pPr>
        <w:ind w:left="1440"/>
        <w:rPr>
          <w:rFonts w:ascii="Cambria Math" w:hAnsi="Cambria Math"/>
          <w:i/>
          <w:sz w:val="18"/>
          <w:szCs w:val="18"/>
        </w:rPr>
      </w:pPr>
      <m:oMathPara>
        <m:oMathParaPr>
          <m:jc m:val="left"/>
        </m:oMathParaPr>
        <m:oMath>
          <m:r>
            <w:rPr>
              <w:rFonts w:ascii="Cambria Math" w:hAnsi="Cambria Math"/>
              <w:sz w:val="18"/>
              <w:szCs w:val="18"/>
            </w:rPr>
            <m:t>ES=</m:t>
          </m:r>
          <m:sSub>
            <m:sSubPr>
              <m:ctrlPr>
                <w:rPr>
                  <w:rFonts w:ascii="Cambria Math" w:hAnsi="Cambria Math"/>
                  <w:i/>
                  <w:sz w:val="18"/>
                  <w:szCs w:val="18"/>
                </w:rPr>
              </m:ctrlPr>
            </m:sSubPr>
            <m:e>
              <m:r>
                <w:rPr>
                  <w:rFonts w:ascii="Cambria Math" w:hAnsi="Cambria Math"/>
                  <w:sz w:val="18"/>
                  <w:szCs w:val="18"/>
                </w:rPr>
                <m:t>EC</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EC</m:t>
              </m:r>
            </m:e>
            <m:sub>
              <m:r>
                <w:rPr>
                  <w:rFonts w:ascii="Cambria Math" w:hAnsi="Cambria Math"/>
                  <w:sz w:val="18"/>
                  <w:szCs w:val="18"/>
                </w:rPr>
                <m:t>Measure</m:t>
              </m:r>
            </m:sub>
          </m:sSub>
        </m:oMath>
      </m:oMathPara>
    </w:p>
    <w:p w14:paraId="65B70629" w14:textId="77777777" w:rsidR="00F236D3" w:rsidRPr="00F17780" w:rsidRDefault="0005791E" w:rsidP="00AD642E">
      <w:pPr>
        <w:ind w:left="1440"/>
        <w:rPr>
          <w:rFonts w:ascii="Cambria Math" w:hAnsi="Cambria Math"/>
          <w: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UES</m:t>
              </m:r>
            </m:e>
            <m:sub>
              <m:r>
                <w:rPr>
                  <w:rFonts w:ascii="Cambria Math" w:hAnsi="Cambria Math"/>
                  <w:sz w:val="18"/>
                  <w:szCs w:val="18"/>
                </w:rPr>
                <m:t>Tons</m:t>
              </m:r>
            </m:sub>
          </m:sSub>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ES</m:t>
              </m:r>
            </m:num>
            <m:den>
              <m:r>
                <w:rPr>
                  <w:rFonts w:ascii="Cambria Math" w:hAnsi="Cambria Math"/>
                  <w:sz w:val="18"/>
                  <w:szCs w:val="18"/>
                </w:rPr>
                <m:t>Cap. Tons</m:t>
              </m:r>
            </m:den>
          </m:f>
        </m:oMath>
      </m:oMathPara>
    </w:p>
    <w:p w14:paraId="397436C6" w14:textId="77777777" w:rsidR="00F236D3" w:rsidRDefault="00F236D3" w:rsidP="00F236D3">
      <w:pPr>
        <w:ind w:left="720"/>
        <w:rPr>
          <w:rFonts w:ascii="Cambria Math" w:hAnsi="Cambria Math"/>
          <w:i/>
          <w:sz w:val="18"/>
          <w:szCs w:val="18"/>
        </w:rPr>
      </w:pPr>
    </w:p>
    <w:p w14:paraId="3A6628A4" w14:textId="77777777" w:rsidR="00F236D3" w:rsidRDefault="00F236D3" w:rsidP="00F236D3">
      <w:pPr>
        <w:tabs>
          <w:tab w:val="left" w:pos="2970"/>
        </w:tabs>
        <w:spacing w:before="20" w:after="20"/>
        <w:ind w:left="1440"/>
        <w:rPr>
          <w:rFonts w:ascii="Cambria Math" w:hAnsi="Cambria Math"/>
          <w:i/>
          <w:sz w:val="18"/>
          <w:szCs w:val="18"/>
        </w:rPr>
      </w:pPr>
      <w:r>
        <w:rPr>
          <w:rFonts w:ascii="Cambria Math" w:hAnsi="Cambria Math"/>
          <w:i/>
          <w:sz w:val="18"/>
          <w:szCs w:val="18"/>
        </w:rPr>
        <w:t>ES</w:t>
      </w:r>
      <w:r>
        <w:rPr>
          <w:rFonts w:ascii="Cambria Math" w:hAnsi="Cambria Math"/>
          <w:i/>
          <w:sz w:val="18"/>
          <w:szCs w:val="18"/>
          <w:vertAlign w:val="subscript"/>
        </w:rPr>
        <w:t xml:space="preserve"> </w:t>
      </w:r>
      <w:r w:rsidRPr="008C1EE9">
        <w:rPr>
          <w:rFonts w:ascii="Cambria Math" w:hAnsi="Cambria Math"/>
          <w:i/>
          <w:sz w:val="18"/>
          <w:szCs w:val="18"/>
        </w:rPr>
        <w:t xml:space="preserve">= </w:t>
      </w:r>
      <w:r>
        <w:rPr>
          <w:rFonts w:ascii="Cambria Math" w:hAnsi="Cambria Math"/>
          <w:i/>
          <w:sz w:val="18"/>
          <w:szCs w:val="18"/>
        </w:rPr>
        <w:tab/>
      </w:r>
      <w:r w:rsidRPr="008C1EE9">
        <w:rPr>
          <w:rFonts w:ascii="Cambria Math" w:hAnsi="Cambria Math"/>
          <w:i/>
          <w:sz w:val="18"/>
          <w:szCs w:val="18"/>
        </w:rPr>
        <w:t>Total energy savings</w:t>
      </w:r>
      <w:r>
        <w:rPr>
          <w:rFonts w:ascii="Cambria Math" w:hAnsi="Cambria Math"/>
          <w:i/>
          <w:sz w:val="18"/>
          <w:szCs w:val="18"/>
        </w:rPr>
        <w:t xml:space="preserve"> (kWh)</w:t>
      </w:r>
    </w:p>
    <w:p w14:paraId="7C31E5D4" w14:textId="77777777" w:rsidR="00F236D3" w:rsidRDefault="00F236D3" w:rsidP="00F236D3">
      <w:pPr>
        <w:tabs>
          <w:tab w:val="left" w:pos="2970"/>
        </w:tabs>
        <w:spacing w:before="20" w:after="20"/>
        <w:ind w:left="1440"/>
        <w:rPr>
          <w:rFonts w:ascii="Cambria Math" w:hAnsi="Cambria Math"/>
          <w:i/>
          <w:sz w:val="18"/>
          <w:szCs w:val="18"/>
        </w:rPr>
      </w:pPr>
      <w:r>
        <w:rPr>
          <w:rFonts w:ascii="Cambria Math" w:hAnsi="Cambria Math"/>
          <w:i/>
          <w:sz w:val="18"/>
          <w:szCs w:val="18"/>
        </w:rPr>
        <w:t xml:space="preserve">EC = </w:t>
      </w:r>
      <w:r>
        <w:rPr>
          <w:rFonts w:ascii="Cambria Math" w:hAnsi="Cambria Math"/>
          <w:i/>
          <w:sz w:val="18"/>
          <w:szCs w:val="18"/>
        </w:rPr>
        <w:tab/>
        <w:t>Modeled energy consumption of the base case and measure case units (kWh)</w:t>
      </w:r>
    </w:p>
    <w:p w14:paraId="214AF672" w14:textId="77777777" w:rsidR="00F236D3" w:rsidRDefault="00F236D3" w:rsidP="00F236D3">
      <w:pPr>
        <w:tabs>
          <w:tab w:val="left" w:pos="1440"/>
          <w:tab w:val="left" w:pos="2970"/>
        </w:tabs>
        <w:spacing w:before="20" w:after="20"/>
        <w:ind w:left="1440"/>
        <w:rPr>
          <w:rFonts w:ascii="Cambria Math" w:hAnsi="Cambria Math"/>
          <w:i/>
          <w:sz w:val="18"/>
          <w:szCs w:val="18"/>
        </w:rPr>
      </w:pPr>
      <w:r>
        <w:rPr>
          <w:rFonts w:ascii="Cambria Math" w:hAnsi="Cambria Math"/>
          <w:i/>
          <w:sz w:val="18"/>
          <w:szCs w:val="18"/>
        </w:rPr>
        <w:lastRenderedPageBreak/>
        <w:t>UES</w:t>
      </w:r>
      <w:r>
        <w:rPr>
          <w:rFonts w:ascii="Cambria Math" w:hAnsi="Cambria Math"/>
          <w:i/>
          <w:sz w:val="18"/>
          <w:szCs w:val="18"/>
          <w:vertAlign w:val="subscript"/>
        </w:rPr>
        <w:t>Ton</w:t>
      </w:r>
      <w:r>
        <w:rPr>
          <w:rFonts w:ascii="Cambria Math" w:hAnsi="Cambria Math"/>
          <w:i/>
          <w:sz w:val="18"/>
          <w:szCs w:val="18"/>
        </w:rPr>
        <w:t xml:space="preserve"> = </w:t>
      </w:r>
      <w:r>
        <w:rPr>
          <w:rFonts w:ascii="Cambria Math" w:hAnsi="Cambria Math"/>
          <w:i/>
          <w:sz w:val="18"/>
          <w:szCs w:val="18"/>
        </w:rPr>
        <w:tab/>
        <w:t>Unit e</w:t>
      </w:r>
      <w:r w:rsidRPr="008C1EE9">
        <w:rPr>
          <w:rFonts w:ascii="Cambria Math" w:hAnsi="Cambria Math"/>
          <w:i/>
          <w:sz w:val="18"/>
          <w:szCs w:val="18"/>
        </w:rPr>
        <w:t>nergy savings (kWh/</w:t>
      </w:r>
      <w:r>
        <w:rPr>
          <w:rFonts w:ascii="Cambria Math" w:hAnsi="Cambria Math"/>
          <w:i/>
          <w:sz w:val="18"/>
          <w:szCs w:val="18"/>
        </w:rPr>
        <w:t>Ton</w:t>
      </w:r>
      <w:r w:rsidRPr="008C1EE9">
        <w:rPr>
          <w:rFonts w:ascii="Cambria Math" w:hAnsi="Cambria Math"/>
          <w:i/>
          <w:sz w:val="18"/>
          <w:szCs w:val="18"/>
        </w:rPr>
        <w:t>)</w:t>
      </w:r>
    </w:p>
    <w:p w14:paraId="53DD33C7" w14:textId="77777777" w:rsidR="00F236D3" w:rsidRPr="008C1EE9" w:rsidRDefault="00F236D3" w:rsidP="00F236D3">
      <w:pPr>
        <w:tabs>
          <w:tab w:val="left" w:pos="2970"/>
        </w:tabs>
        <w:spacing w:before="20" w:after="20"/>
        <w:ind w:left="1440"/>
        <w:rPr>
          <w:rFonts w:ascii="Cambria Math" w:hAnsi="Cambria Math"/>
          <w:i/>
          <w:sz w:val="18"/>
          <w:szCs w:val="18"/>
        </w:rPr>
      </w:pPr>
      <w:r>
        <w:rPr>
          <w:rFonts w:ascii="Cambria Math" w:hAnsi="Cambria Math"/>
          <w:i/>
          <w:sz w:val="18"/>
          <w:szCs w:val="18"/>
        </w:rPr>
        <w:t>Cap. Tons</w:t>
      </w:r>
      <w:r w:rsidRPr="00510C4D">
        <w:rPr>
          <w:rFonts w:ascii="Cambria Math" w:hAnsi="Cambria Math"/>
          <w:i/>
          <w:sz w:val="18"/>
          <w:szCs w:val="18"/>
          <w:vertAlign w:val="subscript"/>
        </w:rPr>
        <w:t xml:space="preserve"> </w:t>
      </w:r>
      <w:r>
        <w:rPr>
          <w:rFonts w:ascii="Cambria Math" w:hAnsi="Cambria Math"/>
          <w:i/>
          <w:sz w:val="18"/>
          <w:szCs w:val="18"/>
        </w:rPr>
        <w:t xml:space="preserve">= </w:t>
      </w:r>
      <w:r>
        <w:rPr>
          <w:rFonts w:ascii="Cambria Math" w:hAnsi="Cambria Math"/>
          <w:i/>
          <w:sz w:val="18"/>
          <w:szCs w:val="18"/>
        </w:rPr>
        <w:tab/>
        <w:t>Total cooling capacity of the model’s HVAC system (Tons)</w:t>
      </w:r>
    </w:p>
    <w:p w14:paraId="77A9D053" w14:textId="77777777" w:rsidR="00182252" w:rsidRDefault="00182252" w:rsidP="00F236D3"/>
    <w:p w14:paraId="61D95A14" w14:textId="0FBA657C" w:rsidR="00472B3E" w:rsidRDefault="00175EB4" w:rsidP="00F236D3">
      <w:r w:rsidRPr="00EA35CD">
        <w:t xml:space="preserve">For the measure case without an existing AC load, the energy </w:t>
      </w:r>
      <w:r w:rsidR="005E431A" w:rsidRPr="00EA35CD">
        <w:t>savings</w:t>
      </w:r>
      <w:r w:rsidRPr="00EA35CD">
        <w:t xml:space="preserve"> were calculated as the difference between the </w:t>
      </w:r>
      <w:r w:rsidR="005E431A" w:rsidRPr="00EA35CD">
        <w:t>modeled total (whole building) energy consumption of the base case and measure case models by removing the cooling load from both the base measure baseline and from the measure case which result</w:t>
      </w:r>
      <w:r w:rsidR="00472B3E" w:rsidRPr="00E00D76">
        <w:t>ed</w:t>
      </w:r>
      <w:r w:rsidR="005E431A" w:rsidRPr="00EA35CD">
        <w:t xml:space="preserve"> in</w:t>
      </w:r>
      <w:r w:rsidR="00472B3E" w:rsidRPr="00E00D76">
        <w:t xml:space="preserve"> only</w:t>
      </w:r>
      <w:r w:rsidR="005E431A" w:rsidRPr="00EA35CD">
        <w:t xml:space="preserve"> savings from the heating load</w:t>
      </w:r>
      <w:r w:rsidR="00472B3E" w:rsidRPr="00EA35CD">
        <w:t>.</w:t>
      </w:r>
      <w:r w:rsidR="00472B3E">
        <w:t xml:space="preserve"> </w:t>
      </w:r>
    </w:p>
    <w:p w14:paraId="7B0AC3C6" w14:textId="3EF69061" w:rsidR="00175EB4" w:rsidRDefault="00472B3E" w:rsidP="00F236D3">
      <w:r>
        <w:t xml:space="preserve">As both Normal Replacement and New Construction measures would assume the same baseline equipment efficiencies, the same savings are mapped to both measure application types. </w:t>
      </w:r>
      <w:r w:rsidR="005E431A" w:rsidRPr="005E431A">
        <w:t xml:space="preserve">  </w:t>
      </w:r>
    </w:p>
    <w:p w14:paraId="253EF6A0" w14:textId="505660EE" w:rsidR="00010710" w:rsidRPr="00082957" w:rsidRDefault="00010710" w:rsidP="00F236D3">
      <w:pPr>
        <w:rPr>
          <w:strike/>
          <w:highlight w:val="yellow"/>
        </w:rPr>
      </w:pPr>
      <w:r>
        <w:t xml:space="preserve">Some measures in CZ15 were observed to have positive electric energy (kWh) savings. This is due </w:t>
      </w:r>
      <w:r w:rsidR="0088419A">
        <w:t xml:space="preserve">to </w:t>
      </w:r>
      <w:r>
        <w:t>CZ15 having much higher cooling requirements than heating requirements, such that increase</w:t>
      </w:r>
      <w:r w:rsidR="0088419A">
        <w:t xml:space="preserve">s </w:t>
      </w:r>
      <w:r>
        <w:t xml:space="preserve">in the cooling efficiency offset all added electric load due to heating. </w:t>
      </w:r>
      <w:r w:rsidR="0088419A">
        <w:t xml:space="preserve">For example, </w:t>
      </w:r>
      <w:r>
        <w:t>per Pacific Energy Center’s</w:t>
      </w:r>
      <w:r w:rsidR="0088419A">
        <w:t xml:space="preserve"> Climate Zone</w:t>
      </w:r>
      <w:r>
        <w:t xml:space="preserve"> Guide</w:t>
      </w:r>
      <w:r w:rsidR="0088419A">
        <w:t>,</w:t>
      </w:r>
      <w:r>
        <w:t xml:space="preserve"> CZ15 experiences between 3</w:t>
      </w:r>
      <w:r w:rsidR="0088419A">
        <w:t>,</w:t>
      </w:r>
      <w:r>
        <w:t>952 to 6</w:t>
      </w:r>
      <w:r w:rsidR="0088419A">
        <w:t>,</w:t>
      </w:r>
      <w:r>
        <w:t>565 cooling degree days as compared to 1</w:t>
      </w:r>
      <w:r w:rsidR="0088419A">
        <w:t>,</w:t>
      </w:r>
      <w:r>
        <w:t>080 to 1</w:t>
      </w:r>
      <w:r w:rsidR="0088419A">
        <w:t>,</w:t>
      </w:r>
      <w:r>
        <w:t>295 heating degree days</w:t>
      </w:r>
      <w:r>
        <w:rPr>
          <w:rStyle w:val="FootnoteReference"/>
        </w:rPr>
        <w:footnoteReference w:id="15"/>
      </w:r>
      <w:r>
        <w:t xml:space="preserve">. </w:t>
      </w:r>
    </w:p>
    <w:p w14:paraId="20053B25" w14:textId="683592D4" w:rsidR="00F236D3" w:rsidRDefault="00945B19" w:rsidP="00F236D3">
      <w:pPr>
        <w:pStyle w:val="eTRMHeading4"/>
      </w:pPr>
      <w:bookmarkStart w:id="41" w:name="_Toc486490856"/>
      <w:bookmarkStart w:id="42" w:name="_Toc486580927"/>
      <w:r>
        <w:t xml:space="preserve">Residential Thermostat and </w:t>
      </w:r>
      <w:r w:rsidR="00F236D3">
        <w:t>Vintage Weighted Average</w:t>
      </w:r>
    </w:p>
    <w:p w14:paraId="5616ADC2" w14:textId="01589912" w:rsidR="00682668" w:rsidRDefault="00D37680" w:rsidP="00F236D3">
      <w:r>
        <w:t xml:space="preserve">DEER2020 </w:t>
      </w:r>
      <w:r w:rsidR="008453F4">
        <w:t>residential thermostat</w:t>
      </w:r>
      <w:r w:rsidR="00682668">
        <w:t xml:space="preserve"> </w:t>
      </w:r>
      <w:r w:rsidR="0074768A">
        <w:t>weighting were used to weight energy savings values for each building type, climate zone and vintage</w:t>
      </w:r>
      <w:r w:rsidR="00570C81">
        <w:rPr>
          <w:rStyle w:val="FootnoteReference"/>
        </w:rPr>
        <w:footnoteReference w:id="16"/>
      </w:r>
      <w:r w:rsidR="0074768A">
        <w:t xml:space="preserve">. Subsequently, these values </w:t>
      </w:r>
      <w:r w:rsidR="00682668">
        <w:t xml:space="preserve">were weighted </w:t>
      </w:r>
      <w:r w:rsidR="0074768A">
        <w:t>using</w:t>
      </w:r>
      <w:r w:rsidR="00682668">
        <w:t xml:space="preserve"> DEER2020 </w:t>
      </w:r>
      <w:r w:rsidR="00F9747E">
        <w:t xml:space="preserve">residential building </w:t>
      </w:r>
      <w:r w:rsidR="0074768A">
        <w:t xml:space="preserve">weights to find the savings for the existing vintage </w:t>
      </w:r>
      <w:r w:rsidR="00F9747E">
        <w:t>for each building type and</w:t>
      </w:r>
      <w:r w:rsidR="00682668">
        <w:t xml:space="preserve"> climate zone. </w:t>
      </w:r>
    </w:p>
    <w:p w14:paraId="04454FAA" w14:textId="5B69C154" w:rsidR="00182252" w:rsidRDefault="00F236D3" w:rsidP="00F236D3">
      <w:r>
        <w:t>Baseline and measure simulations used the DEER 2020 building vintages</w:t>
      </w:r>
      <w:r w:rsidRPr="006A322C">
        <w:rPr>
          <w:rStyle w:val="FootnoteReference"/>
        </w:rPr>
        <w:footnoteReference w:id="17"/>
      </w:r>
      <w:r w:rsidRPr="006A322C">
        <w:rPr>
          <w:rStyle w:val="FootnoteReference"/>
        </w:rPr>
        <w:t xml:space="preserve"> </w:t>
      </w:r>
      <w:r>
        <w:t>(</w:t>
      </w:r>
      <w:r w:rsidR="00D21BCE">
        <w:t xml:space="preserve">see </w:t>
      </w:r>
      <w:r>
        <w:t>below).</w:t>
      </w:r>
    </w:p>
    <w:p w14:paraId="30326E0E" w14:textId="118BBB56" w:rsidR="00F236D3" w:rsidRDefault="00F236D3" w:rsidP="00F236D3">
      <w:pPr>
        <w:keepNext/>
        <w:rPr>
          <w:b/>
          <w:bCs/>
          <w:szCs w:val="22"/>
        </w:rPr>
      </w:pPr>
      <w:r>
        <w:rPr>
          <w:b/>
          <w:bCs/>
          <w:szCs w:val="22"/>
        </w:rPr>
        <w:t>DEER Building Vintage Codes and Descriptions</w:t>
      </w:r>
      <w:r w:rsidR="00D21BCE">
        <w:rPr>
          <w:b/>
          <w:bCs/>
          <w:szCs w:val="22"/>
        </w:rPr>
        <w:t xml:space="preserve"> for Non-Mobile Homes</w:t>
      </w:r>
    </w:p>
    <w:tbl>
      <w:tblPr>
        <w:tblStyle w:val="TableGrid1"/>
        <w:tblW w:w="4929"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302"/>
        <w:gridCol w:w="6915"/>
      </w:tblGrid>
      <w:tr w:rsidR="00F236D3" w14:paraId="6B280AE3" w14:textId="77777777" w:rsidTr="0002472B">
        <w:trPr>
          <w:trHeight w:val="127"/>
          <w:tblHeader/>
        </w:trPr>
        <w:tc>
          <w:tcPr>
            <w:tcW w:w="1249"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hideMark/>
          </w:tcPr>
          <w:p w14:paraId="19B4E16F" w14:textId="77777777" w:rsidR="00F236D3" w:rsidRDefault="00F236D3" w:rsidP="0002472B">
            <w:pPr>
              <w:spacing w:before="0" w:after="0" w:line="240" w:lineRule="auto"/>
              <w:jc w:val="center"/>
              <w:rPr>
                <w:rFonts w:cs="Calibri"/>
                <w:b/>
                <w:bCs/>
                <w:szCs w:val="22"/>
              </w:rPr>
            </w:pPr>
            <w:r>
              <w:rPr>
                <w:rFonts w:cs="Calibri"/>
                <w:b/>
                <w:bCs/>
                <w:szCs w:val="22"/>
              </w:rPr>
              <w:t>DEER Vintage Code</w:t>
            </w:r>
          </w:p>
        </w:tc>
        <w:tc>
          <w:tcPr>
            <w:tcW w:w="3751"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hideMark/>
          </w:tcPr>
          <w:p w14:paraId="4B392AB4" w14:textId="77777777" w:rsidR="00F236D3" w:rsidRDefault="00F236D3" w:rsidP="0002472B">
            <w:pPr>
              <w:spacing w:before="0" w:after="0" w:line="240" w:lineRule="auto"/>
              <w:jc w:val="center"/>
              <w:rPr>
                <w:rFonts w:cs="Arial"/>
                <w:b/>
                <w:szCs w:val="22"/>
              </w:rPr>
            </w:pPr>
            <w:r>
              <w:rPr>
                <w:rFonts w:cs="Arial"/>
                <w:b/>
                <w:szCs w:val="22"/>
              </w:rPr>
              <w:t>Description</w:t>
            </w:r>
          </w:p>
        </w:tc>
      </w:tr>
      <w:tr w:rsidR="00F236D3" w14:paraId="3B0981D9" w14:textId="77777777" w:rsidTr="0002472B">
        <w:trPr>
          <w:trHeight w:val="273"/>
        </w:trPr>
        <w:tc>
          <w:tcPr>
            <w:tcW w:w="1249" w:type="pct"/>
            <w:tcBorders>
              <w:top w:val="single" w:sz="4" w:space="0" w:color="A6A6A6"/>
              <w:left w:val="single" w:sz="4" w:space="0" w:color="A6A6A6"/>
              <w:bottom w:val="single" w:sz="4" w:space="0" w:color="A6A6A6"/>
              <w:right w:val="single" w:sz="4" w:space="0" w:color="A6A6A6"/>
            </w:tcBorders>
            <w:hideMark/>
          </w:tcPr>
          <w:p w14:paraId="7A369BF3" w14:textId="77777777" w:rsidR="00F236D3" w:rsidRDefault="00F236D3" w:rsidP="0002472B">
            <w:pPr>
              <w:spacing w:before="0" w:after="0" w:line="240" w:lineRule="auto"/>
              <w:jc w:val="center"/>
              <w:rPr>
                <w:szCs w:val="22"/>
              </w:rPr>
            </w:pPr>
            <w:r>
              <w:rPr>
                <w:szCs w:val="22"/>
              </w:rPr>
              <w:t>Ex</w:t>
            </w:r>
          </w:p>
        </w:tc>
        <w:tc>
          <w:tcPr>
            <w:tcW w:w="3751" w:type="pct"/>
            <w:tcBorders>
              <w:top w:val="single" w:sz="4" w:space="0" w:color="A6A6A6"/>
              <w:left w:val="single" w:sz="4" w:space="0" w:color="A6A6A6"/>
              <w:bottom w:val="single" w:sz="4" w:space="0" w:color="A6A6A6"/>
              <w:right w:val="single" w:sz="4" w:space="0" w:color="A6A6A6"/>
            </w:tcBorders>
            <w:hideMark/>
          </w:tcPr>
          <w:p w14:paraId="1C09B24A" w14:textId="77777777" w:rsidR="00F236D3" w:rsidRDefault="00F236D3" w:rsidP="0002472B">
            <w:pPr>
              <w:spacing w:before="0" w:after="0" w:line="240" w:lineRule="auto"/>
              <w:jc w:val="center"/>
              <w:rPr>
                <w:szCs w:val="22"/>
              </w:rPr>
            </w:pPr>
            <w:r>
              <w:t xml:space="preserve"> N</w:t>
            </w:r>
            <w:r>
              <w:rPr>
                <w:szCs w:val="22"/>
              </w:rPr>
              <w:t>on-Mobile Homes 2002 - 2016; default vintage for existing buildings</w:t>
            </w:r>
          </w:p>
        </w:tc>
      </w:tr>
      <w:tr w:rsidR="00F236D3" w14:paraId="69C0C5F8" w14:textId="77777777" w:rsidTr="0002472B">
        <w:trPr>
          <w:trHeight w:val="280"/>
        </w:trPr>
        <w:tc>
          <w:tcPr>
            <w:tcW w:w="1249" w:type="pct"/>
            <w:tcBorders>
              <w:top w:val="single" w:sz="4" w:space="0" w:color="A6A6A6"/>
              <w:left w:val="single" w:sz="4" w:space="0" w:color="A6A6A6"/>
              <w:bottom w:val="single" w:sz="4" w:space="0" w:color="A6A6A6"/>
              <w:right w:val="single" w:sz="4" w:space="0" w:color="A6A6A6"/>
            </w:tcBorders>
            <w:hideMark/>
          </w:tcPr>
          <w:p w14:paraId="76C727D0" w14:textId="77777777" w:rsidR="00F236D3" w:rsidRDefault="00F236D3" w:rsidP="0002472B">
            <w:pPr>
              <w:spacing w:before="0" w:after="0" w:line="240" w:lineRule="auto"/>
              <w:jc w:val="center"/>
              <w:rPr>
                <w:szCs w:val="22"/>
              </w:rPr>
            </w:pPr>
            <w:r>
              <w:rPr>
                <w:szCs w:val="22"/>
              </w:rPr>
              <w:t>V03</w:t>
            </w:r>
          </w:p>
        </w:tc>
        <w:tc>
          <w:tcPr>
            <w:tcW w:w="3751" w:type="pct"/>
            <w:tcBorders>
              <w:top w:val="single" w:sz="4" w:space="0" w:color="A6A6A6"/>
              <w:left w:val="single" w:sz="4" w:space="0" w:color="A6A6A6"/>
              <w:bottom w:val="single" w:sz="4" w:space="0" w:color="A6A6A6"/>
              <w:right w:val="single" w:sz="4" w:space="0" w:color="A6A6A6"/>
            </w:tcBorders>
            <w:hideMark/>
          </w:tcPr>
          <w:p w14:paraId="514F496D" w14:textId="77777777" w:rsidR="00F236D3" w:rsidRDefault="00F236D3" w:rsidP="0002472B">
            <w:pPr>
              <w:spacing w:before="0" w:after="0" w:line="240" w:lineRule="auto"/>
              <w:jc w:val="center"/>
              <w:rPr>
                <w:szCs w:val="22"/>
              </w:rPr>
            </w:pPr>
            <w:r>
              <w:t>Existing building stock built between 2002 and 2005</w:t>
            </w:r>
          </w:p>
        </w:tc>
      </w:tr>
      <w:tr w:rsidR="00F236D3" w14:paraId="6FF9913B" w14:textId="77777777" w:rsidTr="0002472B">
        <w:trPr>
          <w:trHeight w:val="286"/>
        </w:trPr>
        <w:tc>
          <w:tcPr>
            <w:tcW w:w="1249" w:type="pct"/>
            <w:tcBorders>
              <w:top w:val="single" w:sz="4" w:space="0" w:color="A6A6A6"/>
              <w:left w:val="single" w:sz="4" w:space="0" w:color="A6A6A6"/>
              <w:bottom w:val="single" w:sz="4" w:space="0" w:color="A6A6A6"/>
              <w:right w:val="single" w:sz="4" w:space="0" w:color="A6A6A6"/>
            </w:tcBorders>
            <w:hideMark/>
          </w:tcPr>
          <w:p w14:paraId="2377A019" w14:textId="77777777" w:rsidR="00F236D3" w:rsidRDefault="00F236D3" w:rsidP="0002472B">
            <w:pPr>
              <w:spacing w:before="0" w:after="0" w:line="240" w:lineRule="auto"/>
              <w:jc w:val="center"/>
              <w:rPr>
                <w:szCs w:val="22"/>
              </w:rPr>
            </w:pPr>
            <w:r>
              <w:rPr>
                <w:szCs w:val="22"/>
              </w:rPr>
              <w:t>V07</w:t>
            </w:r>
          </w:p>
        </w:tc>
        <w:tc>
          <w:tcPr>
            <w:tcW w:w="3751" w:type="pct"/>
            <w:tcBorders>
              <w:top w:val="single" w:sz="4" w:space="0" w:color="A6A6A6"/>
              <w:left w:val="single" w:sz="4" w:space="0" w:color="A6A6A6"/>
              <w:bottom w:val="single" w:sz="4" w:space="0" w:color="A6A6A6"/>
              <w:right w:val="single" w:sz="4" w:space="0" w:color="A6A6A6"/>
            </w:tcBorders>
            <w:hideMark/>
          </w:tcPr>
          <w:p w14:paraId="3F45B33A" w14:textId="77777777" w:rsidR="00F236D3" w:rsidRDefault="00F236D3" w:rsidP="0002472B">
            <w:pPr>
              <w:spacing w:before="0" w:after="0" w:line="240" w:lineRule="auto"/>
              <w:jc w:val="center"/>
              <w:rPr>
                <w:szCs w:val="22"/>
              </w:rPr>
            </w:pPr>
            <w:r>
              <w:t>Existing building stock built between 2006 and 2009</w:t>
            </w:r>
          </w:p>
        </w:tc>
      </w:tr>
      <w:tr w:rsidR="00F236D3" w14:paraId="116A2B33" w14:textId="77777777" w:rsidTr="0002472B">
        <w:trPr>
          <w:trHeight w:val="286"/>
        </w:trPr>
        <w:tc>
          <w:tcPr>
            <w:tcW w:w="1249" w:type="pct"/>
            <w:tcBorders>
              <w:top w:val="single" w:sz="4" w:space="0" w:color="A6A6A6"/>
              <w:left w:val="single" w:sz="4" w:space="0" w:color="A6A6A6"/>
              <w:bottom w:val="single" w:sz="4" w:space="0" w:color="A6A6A6"/>
              <w:right w:val="single" w:sz="4" w:space="0" w:color="A6A6A6"/>
            </w:tcBorders>
            <w:hideMark/>
          </w:tcPr>
          <w:p w14:paraId="54458A7B" w14:textId="77777777" w:rsidR="00F236D3" w:rsidRDefault="00F236D3" w:rsidP="0002472B">
            <w:pPr>
              <w:spacing w:before="0" w:after="0" w:line="240" w:lineRule="auto"/>
              <w:jc w:val="center"/>
              <w:rPr>
                <w:szCs w:val="22"/>
              </w:rPr>
            </w:pPr>
            <w:r>
              <w:rPr>
                <w:szCs w:val="22"/>
              </w:rPr>
              <w:t>V11</w:t>
            </w:r>
          </w:p>
        </w:tc>
        <w:tc>
          <w:tcPr>
            <w:tcW w:w="3751" w:type="pct"/>
            <w:tcBorders>
              <w:top w:val="single" w:sz="4" w:space="0" w:color="A6A6A6"/>
              <w:left w:val="single" w:sz="4" w:space="0" w:color="A6A6A6"/>
              <w:bottom w:val="single" w:sz="4" w:space="0" w:color="A6A6A6"/>
              <w:right w:val="single" w:sz="4" w:space="0" w:color="A6A6A6"/>
            </w:tcBorders>
            <w:hideMark/>
          </w:tcPr>
          <w:p w14:paraId="0ADE68E1" w14:textId="77777777" w:rsidR="00F236D3" w:rsidRDefault="00F236D3" w:rsidP="0002472B">
            <w:pPr>
              <w:spacing w:before="0" w:after="0" w:line="240" w:lineRule="auto"/>
              <w:jc w:val="center"/>
              <w:rPr>
                <w:szCs w:val="22"/>
              </w:rPr>
            </w:pPr>
            <w:r>
              <w:t>Existing building stock built between 2010 and 2013</w:t>
            </w:r>
          </w:p>
        </w:tc>
      </w:tr>
      <w:tr w:rsidR="00F236D3" w14:paraId="0EB2ADFB" w14:textId="77777777" w:rsidTr="0002472B">
        <w:trPr>
          <w:trHeight w:val="280"/>
        </w:trPr>
        <w:tc>
          <w:tcPr>
            <w:tcW w:w="1249" w:type="pct"/>
            <w:tcBorders>
              <w:top w:val="single" w:sz="4" w:space="0" w:color="A6A6A6"/>
              <w:left w:val="single" w:sz="4" w:space="0" w:color="A6A6A6"/>
              <w:bottom w:val="single" w:sz="4" w:space="0" w:color="A6A6A6"/>
              <w:right w:val="single" w:sz="4" w:space="0" w:color="A6A6A6"/>
            </w:tcBorders>
            <w:hideMark/>
          </w:tcPr>
          <w:p w14:paraId="3108047E" w14:textId="77777777" w:rsidR="00F236D3" w:rsidRDefault="00F236D3" w:rsidP="0002472B">
            <w:pPr>
              <w:spacing w:before="0" w:after="0" w:line="240" w:lineRule="auto"/>
              <w:jc w:val="center"/>
              <w:rPr>
                <w:szCs w:val="22"/>
              </w:rPr>
            </w:pPr>
            <w:r>
              <w:rPr>
                <w:szCs w:val="22"/>
              </w:rPr>
              <w:t>V15</w:t>
            </w:r>
          </w:p>
        </w:tc>
        <w:tc>
          <w:tcPr>
            <w:tcW w:w="3751" w:type="pct"/>
            <w:tcBorders>
              <w:top w:val="single" w:sz="4" w:space="0" w:color="A6A6A6"/>
              <w:left w:val="single" w:sz="4" w:space="0" w:color="A6A6A6"/>
              <w:bottom w:val="single" w:sz="4" w:space="0" w:color="A6A6A6"/>
              <w:right w:val="single" w:sz="4" w:space="0" w:color="A6A6A6"/>
            </w:tcBorders>
            <w:hideMark/>
          </w:tcPr>
          <w:p w14:paraId="1BA11BC2" w14:textId="77777777" w:rsidR="00F236D3" w:rsidRDefault="00F236D3" w:rsidP="0002472B">
            <w:pPr>
              <w:spacing w:before="0" w:after="0" w:line="240" w:lineRule="auto"/>
              <w:jc w:val="center"/>
              <w:rPr>
                <w:szCs w:val="22"/>
              </w:rPr>
            </w:pPr>
            <w:r>
              <w:rPr>
                <w:szCs w:val="22"/>
              </w:rPr>
              <w:t xml:space="preserve"> </w:t>
            </w:r>
            <w:r>
              <w:t>Existing building stock built between 2014 and 2016</w:t>
            </w:r>
          </w:p>
        </w:tc>
      </w:tr>
    </w:tbl>
    <w:p w14:paraId="77C93B1D" w14:textId="36BE7B86" w:rsidR="00F236D3" w:rsidRDefault="00F236D3" w:rsidP="00F236D3">
      <w:pPr>
        <w:pStyle w:val="Reminders"/>
        <w:rPr>
          <w:rFonts w:asciiTheme="minorHAnsi" w:hAnsiTheme="minorHAnsi" w:cstheme="minorHAnsi"/>
          <w:i w:val="0"/>
          <w:color w:val="auto"/>
          <w:szCs w:val="22"/>
        </w:rPr>
      </w:pPr>
    </w:p>
    <w:p w14:paraId="4495865E" w14:textId="30788A82" w:rsidR="00D21BCE" w:rsidRPr="00D21BCE" w:rsidRDefault="00D21BCE" w:rsidP="00D21BCE">
      <w:pPr>
        <w:keepNext/>
        <w:rPr>
          <w:b/>
          <w:bCs/>
          <w:szCs w:val="22"/>
        </w:rPr>
      </w:pPr>
      <w:r>
        <w:rPr>
          <w:b/>
          <w:bCs/>
          <w:szCs w:val="22"/>
        </w:rPr>
        <w:t>DEER Building Vintage Codes and Descriptions for Mobile Homes</w:t>
      </w:r>
    </w:p>
    <w:tbl>
      <w:tblPr>
        <w:tblStyle w:val="TableGrid1"/>
        <w:tblW w:w="4929"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302"/>
        <w:gridCol w:w="6915"/>
      </w:tblGrid>
      <w:tr w:rsidR="00D21BCE" w14:paraId="7C18B1F9" w14:textId="77777777" w:rsidTr="0002472B">
        <w:trPr>
          <w:trHeight w:val="127"/>
          <w:tblHeader/>
        </w:trPr>
        <w:tc>
          <w:tcPr>
            <w:tcW w:w="1249"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hideMark/>
          </w:tcPr>
          <w:p w14:paraId="1F9BE033" w14:textId="77777777" w:rsidR="00D21BCE" w:rsidRDefault="00D21BCE" w:rsidP="0002472B">
            <w:pPr>
              <w:spacing w:before="0" w:after="0" w:line="240" w:lineRule="auto"/>
              <w:jc w:val="center"/>
              <w:rPr>
                <w:rFonts w:cs="Calibri"/>
                <w:b/>
                <w:bCs/>
                <w:szCs w:val="22"/>
              </w:rPr>
            </w:pPr>
            <w:r>
              <w:rPr>
                <w:rFonts w:cs="Calibri"/>
                <w:b/>
                <w:bCs/>
                <w:szCs w:val="22"/>
              </w:rPr>
              <w:t>DEER Vintage Code</w:t>
            </w:r>
          </w:p>
        </w:tc>
        <w:tc>
          <w:tcPr>
            <w:tcW w:w="3751"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hideMark/>
          </w:tcPr>
          <w:p w14:paraId="39F4B6E1" w14:textId="77777777" w:rsidR="00D21BCE" w:rsidRDefault="00D21BCE" w:rsidP="0002472B">
            <w:pPr>
              <w:spacing w:before="0" w:after="0" w:line="240" w:lineRule="auto"/>
              <w:jc w:val="center"/>
              <w:rPr>
                <w:rFonts w:cs="Arial"/>
                <w:b/>
                <w:szCs w:val="22"/>
              </w:rPr>
            </w:pPr>
            <w:r>
              <w:rPr>
                <w:rFonts w:cs="Arial"/>
                <w:b/>
                <w:szCs w:val="22"/>
              </w:rPr>
              <w:t>Description</w:t>
            </w:r>
          </w:p>
        </w:tc>
      </w:tr>
      <w:tr w:rsidR="00D21BCE" w14:paraId="1C600FB9" w14:textId="77777777" w:rsidTr="0002472B">
        <w:trPr>
          <w:trHeight w:val="273"/>
        </w:trPr>
        <w:tc>
          <w:tcPr>
            <w:tcW w:w="1249" w:type="pct"/>
            <w:tcBorders>
              <w:top w:val="single" w:sz="4" w:space="0" w:color="A6A6A6"/>
              <w:left w:val="single" w:sz="4" w:space="0" w:color="A6A6A6"/>
              <w:bottom w:val="single" w:sz="4" w:space="0" w:color="A6A6A6"/>
              <w:right w:val="single" w:sz="4" w:space="0" w:color="A6A6A6"/>
            </w:tcBorders>
            <w:hideMark/>
          </w:tcPr>
          <w:p w14:paraId="5A708E4C" w14:textId="77777777" w:rsidR="00D21BCE" w:rsidRDefault="00D21BCE" w:rsidP="0002472B">
            <w:pPr>
              <w:spacing w:before="0" w:after="0" w:line="240" w:lineRule="auto"/>
              <w:jc w:val="center"/>
              <w:rPr>
                <w:szCs w:val="22"/>
              </w:rPr>
            </w:pPr>
            <w:r>
              <w:rPr>
                <w:szCs w:val="22"/>
              </w:rPr>
              <w:t>Ex</w:t>
            </w:r>
          </w:p>
        </w:tc>
        <w:tc>
          <w:tcPr>
            <w:tcW w:w="3751" w:type="pct"/>
            <w:tcBorders>
              <w:top w:val="single" w:sz="4" w:space="0" w:color="A6A6A6"/>
              <w:left w:val="single" w:sz="4" w:space="0" w:color="A6A6A6"/>
              <w:bottom w:val="single" w:sz="4" w:space="0" w:color="A6A6A6"/>
              <w:right w:val="single" w:sz="4" w:space="0" w:color="A6A6A6"/>
            </w:tcBorders>
            <w:hideMark/>
          </w:tcPr>
          <w:p w14:paraId="2B0FE8BB" w14:textId="79133A0F" w:rsidR="00D21BCE" w:rsidRDefault="00D21BCE" w:rsidP="0002472B">
            <w:pPr>
              <w:spacing w:before="0" w:after="0" w:line="240" w:lineRule="auto"/>
              <w:jc w:val="center"/>
              <w:rPr>
                <w:szCs w:val="22"/>
              </w:rPr>
            </w:pPr>
            <w:r>
              <w:rPr>
                <w:szCs w:val="22"/>
              </w:rPr>
              <w:t xml:space="preserve">Mobile Homes </w:t>
            </w:r>
            <w:r w:rsidR="007A5F7D">
              <w:rPr>
                <w:szCs w:val="22"/>
              </w:rPr>
              <w:t>1995 - 20</w:t>
            </w:r>
            <w:r w:rsidR="00877384">
              <w:rPr>
                <w:szCs w:val="22"/>
              </w:rPr>
              <w:t>14</w:t>
            </w:r>
            <w:r>
              <w:rPr>
                <w:szCs w:val="22"/>
              </w:rPr>
              <w:t>; default vintage for existing buildings</w:t>
            </w:r>
          </w:p>
        </w:tc>
      </w:tr>
      <w:tr w:rsidR="00D21BCE" w14:paraId="70A22160" w14:textId="77777777" w:rsidTr="005044FB">
        <w:trPr>
          <w:trHeight w:val="280"/>
        </w:trPr>
        <w:tc>
          <w:tcPr>
            <w:tcW w:w="1249" w:type="pct"/>
            <w:tcBorders>
              <w:top w:val="single" w:sz="4" w:space="0" w:color="A6A6A6"/>
              <w:left w:val="single" w:sz="4" w:space="0" w:color="A6A6A6"/>
              <w:bottom w:val="single" w:sz="4" w:space="0" w:color="A6A6A6"/>
              <w:right w:val="single" w:sz="4" w:space="0" w:color="A6A6A6"/>
            </w:tcBorders>
            <w:shd w:val="clear" w:color="auto" w:fill="auto"/>
            <w:hideMark/>
          </w:tcPr>
          <w:p w14:paraId="2C47F21E" w14:textId="032EA919" w:rsidR="00D21BCE" w:rsidRPr="005044FB" w:rsidRDefault="00877384" w:rsidP="0002472B">
            <w:pPr>
              <w:spacing w:before="0" w:after="0" w:line="240" w:lineRule="auto"/>
              <w:jc w:val="center"/>
              <w:rPr>
                <w:szCs w:val="22"/>
              </w:rPr>
            </w:pPr>
            <w:r w:rsidRPr="005044FB">
              <w:rPr>
                <w:szCs w:val="22"/>
              </w:rPr>
              <w:t>MH00</w:t>
            </w:r>
          </w:p>
        </w:tc>
        <w:tc>
          <w:tcPr>
            <w:tcW w:w="3751" w:type="pct"/>
            <w:tcBorders>
              <w:top w:val="single" w:sz="4" w:space="0" w:color="A6A6A6"/>
              <w:left w:val="single" w:sz="4" w:space="0" w:color="A6A6A6"/>
              <w:bottom w:val="single" w:sz="4" w:space="0" w:color="A6A6A6"/>
              <w:right w:val="single" w:sz="4" w:space="0" w:color="A6A6A6"/>
            </w:tcBorders>
            <w:shd w:val="clear" w:color="auto" w:fill="auto"/>
            <w:hideMark/>
          </w:tcPr>
          <w:p w14:paraId="5F202E6E" w14:textId="631E5EF0" w:rsidR="00D21BCE" w:rsidRPr="005044FB" w:rsidRDefault="00D21BCE" w:rsidP="0002472B">
            <w:pPr>
              <w:spacing w:before="0" w:after="0" w:line="240" w:lineRule="auto"/>
              <w:jc w:val="center"/>
              <w:rPr>
                <w:szCs w:val="22"/>
              </w:rPr>
            </w:pPr>
            <w:r w:rsidRPr="005044FB">
              <w:t xml:space="preserve">Existing building stock built between </w:t>
            </w:r>
            <w:r w:rsidR="00877384" w:rsidRPr="005044FB">
              <w:t>1995</w:t>
            </w:r>
            <w:r w:rsidRPr="005044FB">
              <w:t xml:space="preserve"> and </w:t>
            </w:r>
            <w:r w:rsidR="00877384" w:rsidRPr="005044FB">
              <w:t>2005</w:t>
            </w:r>
          </w:p>
        </w:tc>
      </w:tr>
      <w:tr w:rsidR="00D21BCE" w14:paraId="2E6698BE" w14:textId="77777777" w:rsidTr="005044FB">
        <w:trPr>
          <w:trHeight w:val="286"/>
        </w:trPr>
        <w:tc>
          <w:tcPr>
            <w:tcW w:w="1249" w:type="pct"/>
            <w:tcBorders>
              <w:top w:val="single" w:sz="4" w:space="0" w:color="A6A6A6"/>
              <w:left w:val="single" w:sz="4" w:space="0" w:color="A6A6A6"/>
              <w:bottom w:val="single" w:sz="4" w:space="0" w:color="A6A6A6"/>
              <w:right w:val="single" w:sz="4" w:space="0" w:color="A6A6A6"/>
            </w:tcBorders>
            <w:shd w:val="clear" w:color="auto" w:fill="auto"/>
            <w:hideMark/>
          </w:tcPr>
          <w:p w14:paraId="16E763E7" w14:textId="45107C40" w:rsidR="00D21BCE" w:rsidRPr="005044FB" w:rsidRDefault="00877384" w:rsidP="0002472B">
            <w:pPr>
              <w:spacing w:before="0" w:after="0" w:line="240" w:lineRule="auto"/>
              <w:jc w:val="center"/>
              <w:rPr>
                <w:szCs w:val="22"/>
              </w:rPr>
            </w:pPr>
            <w:r w:rsidRPr="005044FB">
              <w:rPr>
                <w:szCs w:val="22"/>
              </w:rPr>
              <w:t>MH06</w:t>
            </w:r>
          </w:p>
        </w:tc>
        <w:tc>
          <w:tcPr>
            <w:tcW w:w="3751" w:type="pct"/>
            <w:tcBorders>
              <w:top w:val="single" w:sz="4" w:space="0" w:color="A6A6A6"/>
              <w:left w:val="single" w:sz="4" w:space="0" w:color="A6A6A6"/>
              <w:bottom w:val="single" w:sz="4" w:space="0" w:color="A6A6A6"/>
              <w:right w:val="single" w:sz="4" w:space="0" w:color="A6A6A6"/>
            </w:tcBorders>
            <w:shd w:val="clear" w:color="auto" w:fill="auto"/>
            <w:hideMark/>
          </w:tcPr>
          <w:p w14:paraId="45F04A7E" w14:textId="00BD2D45" w:rsidR="00D21BCE" w:rsidRPr="005044FB" w:rsidRDefault="00D21BCE" w:rsidP="0002472B">
            <w:pPr>
              <w:spacing w:before="0" w:after="0" w:line="240" w:lineRule="auto"/>
              <w:jc w:val="center"/>
              <w:rPr>
                <w:szCs w:val="22"/>
              </w:rPr>
            </w:pPr>
            <w:r w:rsidRPr="005044FB">
              <w:t>Existing building stock built between 2006 and 20</w:t>
            </w:r>
            <w:r w:rsidR="00877384" w:rsidRPr="005044FB">
              <w:t>14</w:t>
            </w:r>
          </w:p>
        </w:tc>
      </w:tr>
    </w:tbl>
    <w:p w14:paraId="50D41175" w14:textId="77777777" w:rsidR="00076E13" w:rsidRDefault="00076E13" w:rsidP="00F236D3">
      <w:pPr>
        <w:pStyle w:val="eTRMHeading3"/>
      </w:pPr>
      <w:bookmarkStart w:id="43" w:name="_Toc25166115"/>
    </w:p>
    <w:p w14:paraId="071F1661" w14:textId="387A8F31" w:rsidR="00F236D3" w:rsidRPr="004B06E3" w:rsidRDefault="00F236D3" w:rsidP="00F236D3">
      <w:pPr>
        <w:pStyle w:val="eTRMHeading3"/>
      </w:pPr>
      <w:bookmarkStart w:id="44" w:name="_Toc64561066"/>
      <w:r w:rsidRPr="004B06E3">
        <w:t>Peak Electric Demand Reduction (kW)</w:t>
      </w:r>
      <w:bookmarkEnd w:id="43"/>
      <w:bookmarkEnd w:id="44"/>
    </w:p>
    <w:p w14:paraId="48187EAA" w14:textId="77777777" w:rsidR="0096130A" w:rsidRDefault="0096130A" w:rsidP="0096130A">
      <w:r w:rsidRPr="001653F0">
        <w:t>In accordance with the requirements of the CPUC Fuel Substitution Technical Guidance, for Energy Efficiency, October 31, 2019, there will not be any peak demand reduction or penalty towards peak demand goal achievement from fuel substitution measures.</w:t>
      </w:r>
      <w:r>
        <w:rPr>
          <w:rStyle w:val="FootnoteReference"/>
        </w:rPr>
        <w:footnoteReference w:id="18"/>
      </w:r>
    </w:p>
    <w:p w14:paraId="70872E6D" w14:textId="29586004" w:rsidR="00F236D3" w:rsidRPr="004B06E3" w:rsidRDefault="00F236D3" w:rsidP="00F236D3">
      <w:pPr>
        <w:pStyle w:val="eTRMHeading3"/>
      </w:pPr>
      <w:bookmarkStart w:id="45" w:name="_Toc486490858"/>
      <w:bookmarkStart w:id="46" w:name="_Toc486580929"/>
      <w:bookmarkStart w:id="47" w:name="_Toc25166116"/>
      <w:bookmarkStart w:id="48" w:name="_Toc64561067"/>
      <w:bookmarkEnd w:id="41"/>
      <w:bookmarkEnd w:id="42"/>
      <w:r w:rsidRPr="004B06E3">
        <w:t xml:space="preserve">Gas </w:t>
      </w:r>
      <w:r>
        <w:t xml:space="preserve">savings </w:t>
      </w:r>
      <w:r w:rsidRPr="004B06E3">
        <w:t>(Therms)</w:t>
      </w:r>
      <w:bookmarkEnd w:id="45"/>
      <w:bookmarkEnd w:id="46"/>
      <w:bookmarkEnd w:id="47"/>
      <w:bookmarkEnd w:id="48"/>
    </w:p>
    <w:p w14:paraId="6C77AE47" w14:textId="2295FCF2" w:rsidR="00F236D3" w:rsidRPr="00302133" w:rsidRDefault="00CF63B6" w:rsidP="00302133">
      <w:pPr>
        <w:keepNext/>
        <w:keepLines/>
      </w:pPr>
      <w:r>
        <w:t>G</w:t>
      </w:r>
      <w:r w:rsidR="00302133">
        <w:t xml:space="preserve">as savings </w:t>
      </w:r>
      <w:r>
        <w:t>was</w:t>
      </w:r>
      <w:r w:rsidR="00302133">
        <w:t xml:space="preserve"> calculat</w:t>
      </w:r>
      <w:r>
        <w:t>ed</w:t>
      </w:r>
      <w:r w:rsidR="00302133">
        <w:t xml:space="preserve"> us</w:t>
      </w:r>
      <w:r>
        <w:t>ing</w:t>
      </w:r>
      <w:r w:rsidR="00302133">
        <w:t xml:space="preserve"> the same methodology as the electric savings. </w:t>
      </w:r>
      <w:r>
        <w:t>Please r</w:t>
      </w:r>
      <w:r w:rsidR="001C54E7" w:rsidRPr="00302133">
        <w:t xml:space="preserve">efer to the </w:t>
      </w:r>
      <w:r>
        <w:t>E</w:t>
      </w:r>
      <w:r w:rsidR="001C54E7" w:rsidRPr="00302133">
        <w:t xml:space="preserve">lectric </w:t>
      </w:r>
      <w:r>
        <w:t>S</w:t>
      </w:r>
      <w:r w:rsidR="001C54E7" w:rsidRPr="00302133">
        <w:t>avings</w:t>
      </w:r>
      <w:r>
        <w:t xml:space="preserve"> (kWh)</w:t>
      </w:r>
      <w:r w:rsidR="001C54E7" w:rsidRPr="00302133">
        <w:t xml:space="preserve"> section for details.</w:t>
      </w:r>
    </w:p>
    <w:p w14:paraId="6BE69908" w14:textId="77777777" w:rsidR="00375BD8" w:rsidRPr="00C6243E" w:rsidRDefault="00375BD8" w:rsidP="00B13E72">
      <w:pPr>
        <w:pStyle w:val="eTRMHeading3"/>
        <w:jc w:val="both"/>
        <w:rPr>
          <w:rFonts w:cs="Calibri Light"/>
        </w:rPr>
      </w:pPr>
      <w:bookmarkStart w:id="49" w:name="_Toc64561068"/>
      <w:bookmarkStart w:id="50" w:name="_Toc486490859"/>
      <w:bookmarkStart w:id="51" w:name="_Toc486580930"/>
      <w:r w:rsidRPr="00C6243E">
        <w:rPr>
          <w:rFonts w:cs="Calibri Light"/>
        </w:rPr>
        <w:t>Life Cycle</w:t>
      </w:r>
      <w:bookmarkEnd w:id="49"/>
      <w:r w:rsidRPr="00C6243E">
        <w:rPr>
          <w:rFonts w:cs="Calibri Light"/>
        </w:rPr>
        <w:t xml:space="preserve"> </w:t>
      </w:r>
      <w:bookmarkEnd w:id="50"/>
      <w:bookmarkEnd w:id="51"/>
    </w:p>
    <w:p w14:paraId="0889AD83" w14:textId="77777777" w:rsidR="00375BD8" w:rsidRDefault="00375BD8" w:rsidP="00B13E72">
      <w:pPr>
        <w:jc w:val="both"/>
        <w:rPr>
          <w:szCs w:val="22"/>
        </w:rPr>
      </w:pPr>
      <w:r>
        <w:rPr>
          <w:szCs w:val="22"/>
        </w:rPr>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33CF8268" w14:textId="31BDC2B2" w:rsidR="00375BD8" w:rsidRPr="00375BD8" w:rsidRDefault="00375BD8" w:rsidP="00B13E72">
      <w:pPr>
        <w:jc w:val="both"/>
        <w:rPr>
          <w:rFonts w:cs="Calibri Light"/>
        </w:rPr>
      </w:pPr>
      <w:r w:rsidRPr="00C6243E">
        <w:rPr>
          <w:rFonts w:cs="Calibri Light"/>
        </w:rPr>
        <w:t xml:space="preserve">Effective Useful Life (EUL) </w:t>
      </w:r>
      <w:r>
        <w:rPr>
          <w:rFonts w:cs="Calibri Light"/>
        </w:rPr>
        <w:t xml:space="preserve">and Remaining Useful Life (RUL) </w:t>
      </w:r>
      <w:r w:rsidRPr="00C6243E">
        <w:rPr>
          <w:rFonts w:cs="Calibri Light"/>
        </w:rPr>
        <w:t xml:space="preserve">for </w:t>
      </w:r>
      <w:r w:rsidR="00194249">
        <w:rPr>
          <w:rFonts w:cs="Calibri Light"/>
        </w:rPr>
        <w:t xml:space="preserve">the </w:t>
      </w:r>
      <w:r w:rsidR="00767055">
        <w:rPr>
          <w:rFonts w:cs="Calibri Light"/>
        </w:rPr>
        <w:t>split-system heat pump</w:t>
      </w:r>
      <w:r>
        <w:rPr>
          <w:rFonts w:cs="Calibri Light"/>
        </w:rPr>
        <w:t xml:space="preserve"> are</w:t>
      </w:r>
      <w:r w:rsidRPr="00C6243E">
        <w:rPr>
          <w:rFonts w:cs="Calibri Light"/>
        </w:rPr>
        <w:t xml:space="preserve"> available in DEER</w:t>
      </w:r>
      <w:r w:rsidR="00327549">
        <w:rPr>
          <w:rFonts w:cs="Calibri Light"/>
        </w:rPr>
        <w:t>.</w:t>
      </w:r>
    </w:p>
    <w:p w14:paraId="5174CC2A" w14:textId="77777777" w:rsidR="00375BD8" w:rsidRPr="00C6243E" w:rsidRDefault="00375BD8" w:rsidP="00E20381">
      <w:pPr>
        <w:pStyle w:val="Caption"/>
      </w:pPr>
      <w:r w:rsidRPr="00C6243E">
        <w:t>Effective Useful Life and Remaining Useful Life</w:t>
      </w:r>
    </w:p>
    <w:tbl>
      <w:tblPr>
        <w:tblW w:w="9324"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80"/>
        <w:gridCol w:w="1350"/>
        <w:gridCol w:w="5094"/>
      </w:tblGrid>
      <w:tr w:rsidR="00F9747E" w:rsidRPr="00500C4E" w14:paraId="78E78E41" w14:textId="77777777" w:rsidTr="00E51366">
        <w:trPr>
          <w:cantSplit/>
          <w:trHeight w:val="16"/>
        </w:trPr>
        <w:tc>
          <w:tcPr>
            <w:tcW w:w="2880" w:type="dxa"/>
            <w:tcBorders>
              <w:bottom w:val="single" w:sz="4" w:space="0" w:color="A6A6A6" w:themeColor="background1" w:themeShade="A6"/>
            </w:tcBorders>
            <w:shd w:val="clear" w:color="auto" w:fill="F2F2F2" w:themeFill="background1" w:themeFillShade="F2"/>
            <w:vAlign w:val="bottom"/>
          </w:tcPr>
          <w:p w14:paraId="7C3635AC" w14:textId="77777777" w:rsidR="00F9747E" w:rsidRPr="008C556F" w:rsidRDefault="00F9747E" w:rsidP="00E261EA">
            <w:pPr>
              <w:keepNext/>
              <w:keepLines/>
              <w:spacing w:before="20" w:after="20"/>
              <w:jc w:val="center"/>
              <w:rPr>
                <w:rFonts w:cs="Calibri Light"/>
                <w:b/>
                <w:sz w:val="20"/>
                <w:szCs w:val="20"/>
              </w:rPr>
            </w:pPr>
            <w:r w:rsidRPr="008C556F">
              <w:rPr>
                <w:rFonts w:cs="Calibri Light"/>
                <w:b/>
                <w:sz w:val="20"/>
                <w:szCs w:val="20"/>
              </w:rPr>
              <w:t>Parameter</w:t>
            </w:r>
          </w:p>
        </w:tc>
        <w:tc>
          <w:tcPr>
            <w:tcW w:w="1350" w:type="dxa"/>
            <w:tcBorders>
              <w:bottom w:val="single" w:sz="4" w:space="0" w:color="A6A6A6" w:themeColor="background1" w:themeShade="A6"/>
            </w:tcBorders>
            <w:shd w:val="clear" w:color="auto" w:fill="F2F2F2" w:themeFill="background1" w:themeFillShade="F2"/>
            <w:vAlign w:val="bottom"/>
          </w:tcPr>
          <w:p w14:paraId="46B5F87A" w14:textId="77777777" w:rsidR="00F9747E" w:rsidRPr="008C556F" w:rsidRDefault="00F9747E" w:rsidP="00E261EA">
            <w:pPr>
              <w:keepNext/>
              <w:keepLines/>
              <w:spacing w:before="20" w:after="20"/>
              <w:jc w:val="center"/>
              <w:rPr>
                <w:rFonts w:cs="Calibri Light"/>
                <w:b/>
                <w:sz w:val="20"/>
                <w:szCs w:val="20"/>
              </w:rPr>
            </w:pPr>
            <w:r>
              <w:rPr>
                <w:rFonts w:cs="Calibri Light"/>
                <w:b/>
                <w:sz w:val="20"/>
                <w:szCs w:val="20"/>
              </w:rPr>
              <w:t>Value</w:t>
            </w:r>
          </w:p>
        </w:tc>
        <w:tc>
          <w:tcPr>
            <w:tcW w:w="5094" w:type="dxa"/>
            <w:tcBorders>
              <w:bottom w:val="single" w:sz="4" w:space="0" w:color="A6A6A6" w:themeColor="background1" w:themeShade="A6"/>
            </w:tcBorders>
            <w:shd w:val="clear" w:color="auto" w:fill="F2F2F2" w:themeFill="background1" w:themeFillShade="F2"/>
            <w:vAlign w:val="bottom"/>
          </w:tcPr>
          <w:p w14:paraId="4E0A36DD" w14:textId="77777777" w:rsidR="00F9747E" w:rsidRPr="008C556F" w:rsidRDefault="00F9747E" w:rsidP="00E261EA">
            <w:pPr>
              <w:keepNext/>
              <w:keepLines/>
              <w:spacing w:before="20" w:after="20"/>
              <w:jc w:val="center"/>
              <w:rPr>
                <w:rFonts w:cs="Calibri Light"/>
                <w:b/>
                <w:sz w:val="20"/>
                <w:szCs w:val="20"/>
              </w:rPr>
            </w:pPr>
            <w:r w:rsidRPr="008C556F">
              <w:rPr>
                <w:rFonts w:cs="Calibri Light"/>
                <w:b/>
                <w:sz w:val="20"/>
                <w:szCs w:val="20"/>
              </w:rPr>
              <w:t>Source</w:t>
            </w:r>
          </w:p>
        </w:tc>
      </w:tr>
      <w:tr w:rsidR="00F9747E" w:rsidRPr="001A3BC8" w14:paraId="2E28CF84" w14:textId="77777777" w:rsidTr="00E51366">
        <w:trPr>
          <w:cantSplit/>
          <w:trHeight w:val="230"/>
        </w:trPr>
        <w:tc>
          <w:tcPr>
            <w:tcW w:w="2880" w:type="dxa"/>
            <w:vAlign w:val="center"/>
          </w:tcPr>
          <w:p w14:paraId="021224CF" w14:textId="670D5D27" w:rsidR="00F9747E" w:rsidRPr="00E51366" w:rsidRDefault="00F9747E" w:rsidP="00E51366">
            <w:pPr>
              <w:keepNext/>
              <w:keepLines/>
              <w:spacing w:before="20" w:after="20"/>
              <w:rPr>
                <w:rFonts w:asciiTheme="majorHAnsi" w:hAnsiTheme="majorHAnsi" w:cstheme="majorHAnsi"/>
                <w:color w:val="FF0000"/>
                <w:sz w:val="18"/>
                <w:szCs w:val="18"/>
              </w:rPr>
            </w:pPr>
            <w:r w:rsidRPr="00E51366">
              <w:rPr>
                <w:rFonts w:asciiTheme="majorHAnsi" w:hAnsiTheme="majorHAnsi" w:cstheme="majorHAnsi"/>
                <w:color w:val="000000"/>
                <w:sz w:val="18"/>
                <w:szCs w:val="18"/>
              </w:rPr>
              <w:t>EUL (Years)</w:t>
            </w:r>
            <w:r w:rsidRPr="00E51366">
              <w:rPr>
                <w:rFonts w:asciiTheme="majorHAnsi" w:hAnsiTheme="majorHAnsi" w:cstheme="majorHAnsi"/>
                <w:color w:val="FF0000"/>
                <w:sz w:val="18"/>
                <w:szCs w:val="18"/>
              </w:rPr>
              <w:t xml:space="preserve"> </w:t>
            </w:r>
            <w:r w:rsidRPr="00E51366">
              <w:rPr>
                <w:rFonts w:asciiTheme="majorHAnsi" w:hAnsiTheme="majorHAnsi" w:cstheme="majorHAnsi"/>
                <w:color w:val="000000"/>
                <w:sz w:val="18"/>
                <w:szCs w:val="18"/>
              </w:rPr>
              <w:t>(EUL ID: HVAC-airHP)</w:t>
            </w:r>
          </w:p>
        </w:tc>
        <w:tc>
          <w:tcPr>
            <w:tcW w:w="1350" w:type="dxa"/>
            <w:vAlign w:val="center"/>
          </w:tcPr>
          <w:p w14:paraId="0D1AD2F9" w14:textId="77777777" w:rsidR="00F9747E" w:rsidRPr="00E51366" w:rsidRDefault="00F9747E" w:rsidP="00E51366">
            <w:pPr>
              <w:keepNext/>
              <w:keepLines/>
              <w:spacing w:before="20" w:after="20"/>
              <w:ind w:right="-85"/>
              <w:rPr>
                <w:rFonts w:asciiTheme="majorHAnsi" w:hAnsiTheme="majorHAnsi" w:cstheme="majorHAnsi"/>
                <w:color w:val="000000"/>
                <w:sz w:val="18"/>
                <w:szCs w:val="18"/>
              </w:rPr>
            </w:pPr>
            <w:r w:rsidRPr="00E51366">
              <w:rPr>
                <w:rFonts w:asciiTheme="majorHAnsi" w:hAnsiTheme="majorHAnsi" w:cstheme="majorHAnsi"/>
                <w:sz w:val="18"/>
                <w:szCs w:val="18"/>
              </w:rPr>
              <w:t>15.0</w:t>
            </w:r>
          </w:p>
        </w:tc>
        <w:tc>
          <w:tcPr>
            <w:tcW w:w="5094" w:type="dxa"/>
            <w:vAlign w:val="center"/>
          </w:tcPr>
          <w:p w14:paraId="591C4FA8" w14:textId="77777777" w:rsidR="00F9747E" w:rsidRPr="00E51366" w:rsidRDefault="00F9747E" w:rsidP="002258C0">
            <w:pPr>
              <w:keepNext/>
              <w:keepLines/>
              <w:spacing w:before="20" w:after="20"/>
              <w:rPr>
                <w:rFonts w:asciiTheme="majorHAnsi" w:hAnsiTheme="majorHAnsi" w:cstheme="majorHAnsi"/>
                <w:color w:val="000000"/>
                <w:sz w:val="18"/>
                <w:szCs w:val="18"/>
              </w:rPr>
            </w:pPr>
            <w:r w:rsidRPr="00E51366">
              <w:rPr>
                <w:rFonts w:asciiTheme="majorHAnsi" w:hAnsiTheme="majorHAnsi" w:cstheme="majorHAnsi"/>
                <w:color w:val="000000"/>
                <w:sz w:val="18"/>
                <w:szCs w:val="18"/>
              </w:rPr>
              <w:t>California Public Utilities Commission (CPUC), Energy Division. 2014. “DEER2014-EUL-table-update_2014-02-05.xlsx.”</w:t>
            </w:r>
          </w:p>
        </w:tc>
      </w:tr>
      <w:tr w:rsidR="00F9747E" w:rsidRPr="00500C4E" w14:paraId="382FBAC6" w14:textId="77777777" w:rsidTr="00E51366">
        <w:trPr>
          <w:cantSplit/>
          <w:trHeight w:val="230"/>
        </w:trPr>
        <w:tc>
          <w:tcPr>
            <w:tcW w:w="2880" w:type="dxa"/>
            <w:tcBorders>
              <w:bottom w:val="single" w:sz="4" w:space="0" w:color="auto"/>
            </w:tcBorders>
            <w:vAlign w:val="center"/>
          </w:tcPr>
          <w:p w14:paraId="745EADF8" w14:textId="06BBA139" w:rsidR="00F9747E" w:rsidRPr="00E51366" w:rsidRDefault="00F9747E" w:rsidP="00E51366">
            <w:pPr>
              <w:keepNext/>
              <w:keepLines/>
              <w:spacing w:before="20" w:after="20"/>
              <w:rPr>
                <w:rFonts w:asciiTheme="majorHAnsi" w:hAnsiTheme="majorHAnsi" w:cstheme="majorHAnsi"/>
                <w:color w:val="FF0000"/>
                <w:sz w:val="18"/>
                <w:szCs w:val="18"/>
              </w:rPr>
            </w:pPr>
            <w:r w:rsidRPr="00E51366">
              <w:rPr>
                <w:rFonts w:asciiTheme="majorHAnsi" w:hAnsiTheme="majorHAnsi" w:cstheme="majorHAnsi"/>
                <w:color w:val="000000"/>
                <w:sz w:val="18"/>
                <w:szCs w:val="18"/>
              </w:rPr>
              <w:t>RUL (Years)</w:t>
            </w:r>
            <w:r w:rsidRPr="00E51366">
              <w:rPr>
                <w:rFonts w:asciiTheme="majorHAnsi" w:hAnsiTheme="majorHAnsi" w:cstheme="majorHAnsi"/>
                <w:color w:val="FF0000"/>
                <w:sz w:val="18"/>
                <w:szCs w:val="18"/>
              </w:rPr>
              <w:t xml:space="preserve"> </w:t>
            </w:r>
            <w:r w:rsidRPr="00E51366">
              <w:rPr>
                <w:rFonts w:asciiTheme="majorHAnsi" w:hAnsiTheme="majorHAnsi" w:cstheme="majorHAnsi"/>
                <w:color w:val="000000"/>
                <w:sz w:val="18"/>
                <w:szCs w:val="18"/>
              </w:rPr>
              <w:t>(EUL ID: HVAC-airHP)</w:t>
            </w:r>
          </w:p>
        </w:tc>
        <w:tc>
          <w:tcPr>
            <w:tcW w:w="1350" w:type="dxa"/>
            <w:tcBorders>
              <w:bottom w:val="single" w:sz="4" w:space="0" w:color="auto"/>
            </w:tcBorders>
            <w:vAlign w:val="center"/>
          </w:tcPr>
          <w:p w14:paraId="6F44EF23" w14:textId="6724CB71" w:rsidR="00F9747E" w:rsidRPr="00E51366" w:rsidRDefault="00F9747E" w:rsidP="00E51366">
            <w:pPr>
              <w:keepNext/>
              <w:keepLines/>
              <w:spacing w:before="20" w:after="20"/>
              <w:ind w:right="-85"/>
              <w:rPr>
                <w:rFonts w:asciiTheme="majorHAnsi" w:hAnsiTheme="majorHAnsi" w:cstheme="majorHAnsi"/>
                <w:color w:val="FF0000"/>
                <w:sz w:val="18"/>
                <w:szCs w:val="18"/>
              </w:rPr>
            </w:pPr>
            <w:r w:rsidRPr="00E51366">
              <w:rPr>
                <w:rFonts w:asciiTheme="majorHAnsi" w:hAnsiTheme="majorHAnsi" w:cstheme="majorHAnsi"/>
                <w:sz w:val="18"/>
                <w:szCs w:val="18"/>
              </w:rPr>
              <w:t>N/A</w:t>
            </w:r>
          </w:p>
        </w:tc>
        <w:tc>
          <w:tcPr>
            <w:tcW w:w="5094" w:type="dxa"/>
            <w:tcBorders>
              <w:bottom w:val="single" w:sz="4" w:space="0" w:color="auto"/>
            </w:tcBorders>
            <w:vAlign w:val="center"/>
          </w:tcPr>
          <w:p w14:paraId="42970F38" w14:textId="77777777" w:rsidR="00F9747E" w:rsidRPr="00E51366" w:rsidRDefault="00F9747E" w:rsidP="002258C0">
            <w:pPr>
              <w:keepNext/>
              <w:keepLines/>
              <w:spacing w:before="20" w:after="20"/>
              <w:rPr>
                <w:rFonts w:asciiTheme="majorHAnsi" w:hAnsiTheme="majorHAnsi" w:cstheme="majorHAnsi"/>
                <w:color w:val="FF0000"/>
                <w:sz w:val="18"/>
                <w:szCs w:val="18"/>
              </w:rPr>
            </w:pPr>
            <w:r w:rsidRPr="00E51366">
              <w:rPr>
                <w:rFonts w:asciiTheme="majorHAnsi" w:hAnsiTheme="majorHAnsi" w:cstheme="majorHAnsi"/>
                <w:color w:val="000000"/>
                <w:sz w:val="18"/>
                <w:szCs w:val="18"/>
              </w:rPr>
              <w:t>California Public Utilities Commission (CPUC), Energy Division. 2014. “DEER2014-EUL-table-update_2014-02-05.xlsx.”</w:t>
            </w:r>
          </w:p>
        </w:tc>
      </w:tr>
    </w:tbl>
    <w:p w14:paraId="641E59AA" w14:textId="77777777" w:rsidR="00375BD8" w:rsidRPr="00C6243E" w:rsidRDefault="00375BD8" w:rsidP="00B13E72">
      <w:pPr>
        <w:jc w:val="both"/>
        <w:rPr>
          <w:rFonts w:cs="Calibri Light"/>
        </w:rPr>
      </w:pPr>
    </w:p>
    <w:p w14:paraId="7B62C750" w14:textId="77777777" w:rsidR="00375BD8" w:rsidRPr="00C6243E" w:rsidRDefault="00375BD8" w:rsidP="00B13E72">
      <w:pPr>
        <w:pStyle w:val="eTRMHeading3"/>
        <w:jc w:val="both"/>
        <w:rPr>
          <w:rFonts w:cs="Calibri Light"/>
        </w:rPr>
      </w:pPr>
      <w:bookmarkStart w:id="52" w:name="_Toc486490860"/>
      <w:bookmarkStart w:id="53" w:name="_Toc486580931"/>
      <w:bookmarkStart w:id="54" w:name="_Toc64561069"/>
      <w:r w:rsidRPr="00C3711D">
        <w:rPr>
          <w:rFonts w:cs="Calibri Light"/>
        </w:rPr>
        <w:t>Base Case Material Cost ($/unit)</w:t>
      </w:r>
      <w:bookmarkEnd w:id="52"/>
      <w:bookmarkEnd w:id="53"/>
      <w:bookmarkEnd w:id="54"/>
    </w:p>
    <w:p w14:paraId="37B63569" w14:textId="5049F4E0" w:rsidR="00F9747E" w:rsidRDefault="00C3711D" w:rsidP="005335B3">
      <w:pPr>
        <w:pStyle w:val="Normal1"/>
        <w:tabs>
          <w:tab w:val="left" w:pos="1695"/>
        </w:tabs>
        <w:jc w:val="both"/>
        <w:rPr>
          <w:rFonts w:ascii="Calibri Light" w:hAnsi="Calibri Light" w:cs="Calibri Light"/>
        </w:rPr>
      </w:pPr>
      <w:r>
        <w:rPr>
          <w:rFonts w:ascii="Calibri Light" w:hAnsi="Calibri Light" w:cs="Calibri Light"/>
        </w:rPr>
        <w:t>Base case costing was obtained through online price research from various retailer websites in the fourth quarter of 2019.</w:t>
      </w:r>
      <w:r w:rsidR="007B59A5">
        <w:rPr>
          <w:rFonts w:ascii="Calibri Light" w:hAnsi="Calibri Light" w:cs="Calibri Light"/>
        </w:rPr>
        <w:t xml:space="preserve"> </w:t>
      </w:r>
      <w:r w:rsidR="00F9747E">
        <w:rPr>
          <w:rFonts w:ascii="Calibri Light" w:hAnsi="Calibri Light" w:cs="Calibri Light"/>
        </w:rPr>
        <w:t>Base case equipment c</w:t>
      </w:r>
      <w:r w:rsidR="005335B3">
        <w:rPr>
          <w:rFonts w:ascii="Calibri Light" w:hAnsi="Calibri Light" w:cs="Calibri Light"/>
        </w:rPr>
        <w:t xml:space="preserve">osting took into account the </w:t>
      </w:r>
      <w:r w:rsidR="00F9747E">
        <w:rPr>
          <w:rFonts w:ascii="Calibri Light" w:hAnsi="Calibri Light" w:cs="Calibri Light"/>
        </w:rPr>
        <w:t>capacity</w:t>
      </w:r>
      <w:r w:rsidR="005335B3">
        <w:rPr>
          <w:rFonts w:ascii="Calibri Light" w:hAnsi="Calibri Light" w:cs="Calibri Light"/>
        </w:rPr>
        <w:t xml:space="preserve"> and efficiency of the equipment</w:t>
      </w:r>
      <w:r w:rsidR="00F9747E">
        <w:rPr>
          <w:rFonts w:ascii="Calibri Light" w:hAnsi="Calibri Light" w:cs="Calibri Light"/>
        </w:rPr>
        <w:t xml:space="preserve"> to align it with the baseline measure </w:t>
      </w:r>
      <w:r w:rsidR="005C5B83">
        <w:rPr>
          <w:rFonts w:ascii="Calibri Light" w:hAnsi="Calibri Light" w:cs="Calibri Light"/>
        </w:rPr>
        <w:t xml:space="preserve">efficiencies </w:t>
      </w:r>
      <w:r w:rsidR="00F9747E">
        <w:rPr>
          <w:rFonts w:ascii="Calibri Light" w:hAnsi="Calibri Light" w:cs="Calibri Light"/>
        </w:rPr>
        <w:t>and DEER prototype capacities</w:t>
      </w:r>
      <w:r w:rsidR="005335B3">
        <w:rPr>
          <w:rFonts w:ascii="Calibri Light" w:hAnsi="Calibri Light" w:cs="Calibri Light"/>
        </w:rPr>
        <w:t>.</w:t>
      </w:r>
      <w:r w:rsidR="00F9747E">
        <w:rPr>
          <w:rFonts w:ascii="Calibri Light" w:hAnsi="Calibri Light" w:cs="Calibri Light"/>
        </w:rPr>
        <w:t xml:space="preserve"> </w:t>
      </w:r>
      <w:r w:rsidR="00A24F44">
        <w:rPr>
          <w:rFonts w:ascii="Calibri Light" w:hAnsi="Calibri Light" w:cs="Calibri Light"/>
        </w:rPr>
        <w:t xml:space="preserve">Based on unit sizes found in the market and the total </w:t>
      </w:r>
      <w:r w:rsidR="00794BC8">
        <w:rPr>
          <w:rFonts w:ascii="Calibri Light" w:hAnsi="Calibri Light" w:cs="Calibri Light"/>
        </w:rPr>
        <w:t>capacities that</w:t>
      </w:r>
      <w:r w:rsidR="00A24F44">
        <w:rPr>
          <w:rFonts w:ascii="Calibri Light" w:hAnsi="Calibri Light" w:cs="Calibri Light"/>
        </w:rPr>
        <w:t xml:space="preserve"> were found in DEER prototypes it was assumed that a single </w:t>
      </w:r>
      <w:r w:rsidR="00347FE3">
        <w:rPr>
          <w:rFonts w:ascii="Calibri Light" w:hAnsi="Calibri Light" w:cs="Calibri Light"/>
        </w:rPr>
        <w:t xml:space="preserve">set </w:t>
      </w:r>
      <w:r w:rsidR="00A24F44">
        <w:rPr>
          <w:rFonts w:ascii="Calibri Light" w:hAnsi="Calibri Light" w:cs="Calibri Light"/>
        </w:rPr>
        <w:t xml:space="preserve">of wall furnace and window AC </w:t>
      </w:r>
      <w:r w:rsidR="00347FE3">
        <w:rPr>
          <w:rFonts w:ascii="Calibri Light" w:hAnsi="Calibri Light" w:cs="Calibri Light"/>
        </w:rPr>
        <w:t xml:space="preserve">units </w:t>
      </w:r>
      <w:r w:rsidR="00A24F44">
        <w:rPr>
          <w:rFonts w:ascii="Calibri Light" w:hAnsi="Calibri Light" w:cs="Calibri Light"/>
        </w:rPr>
        <w:t xml:space="preserve">could serve the MFm prototypes, while two </w:t>
      </w:r>
      <w:r w:rsidR="00347FE3">
        <w:rPr>
          <w:rFonts w:ascii="Calibri Light" w:hAnsi="Calibri Light" w:cs="Calibri Light"/>
        </w:rPr>
        <w:t xml:space="preserve">units </w:t>
      </w:r>
      <w:r w:rsidR="00A24F44">
        <w:rPr>
          <w:rFonts w:ascii="Calibri Light" w:hAnsi="Calibri Light" w:cs="Calibri Light"/>
        </w:rPr>
        <w:t xml:space="preserve">would be needed to serve the SFm and DMo prototypes. </w:t>
      </w:r>
      <w:r w:rsidR="00747BE4">
        <w:rPr>
          <w:rFonts w:ascii="Calibri Light" w:hAnsi="Calibri Light" w:cs="Calibri Light"/>
        </w:rPr>
        <w:t>Thus, furnaces in the capacity range of 14.9-37.5 kBTUh and the window air conditioner with a capacity in the range of 1.0-2.0 tons were selected for costing.</w:t>
      </w:r>
      <w:r w:rsidR="00BD007D">
        <w:rPr>
          <w:rFonts w:ascii="Calibri Light" w:hAnsi="Calibri Light" w:cs="Calibri Light"/>
        </w:rPr>
        <w:t xml:space="preserve"> See the table below for details on the system sizing assumptions.</w:t>
      </w:r>
      <w:r w:rsidR="00B3231E">
        <w:rPr>
          <w:rFonts w:ascii="Calibri Light" w:hAnsi="Calibri Light" w:cs="Calibri Light"/>
        </w:rPr>
        <w:t xml:space="preserve"> For measure case without an existing cooling load, the window unit </w:t>
      </w:r>
      <w:r w:rsidR="00350DBE">
        <w:rPr>
          <w:rFonts w:ascii="Calibri Light" w:hAnsi="Calibri Light" w:cs="Calibri Light"/>
        </w:rPr>
        <w:t>costs</w:t>
      </w:r>
      <w:r w:rsidR="00B3231E">
        <w:rPr>
          <w:rFonts w:ascii="Calibri Light" w:hAnsi="Calibri Light" w:cs="Calibri Light"/>
        </w:rPr>
        <w:t xml:space="preserve"> </w:t>
      </w:r>
      <w:r w:rsidR="00350DBE">
        <w:rPr>
          <w:rFonts w:ascii="Calibri Light" w:hAnsi="Calibri Light" w:cs="Calibri Light"/>
        </w:rPr>
        <w:t>excluded</w:t>
      </w:r>
      <w:r w:rsidR="00B3231E">
        <w:rPr>
          <w:rFonts w:ascii="Calibri Light" w:hAnsi="Calibri Light" w:cs="Calibri Light"/>
        </w:rPr>
        <w:t xml:space="preserve">. </w:t>
      </w:r>
    </w:p>
    <w:p w14:paraId="2DC691E0" w14:textId="329850B2" w:rsidR="00BD007D" w:rsidRPr="00D52C43" w:rsidRDefault="00BD007D" w:rsidP="00BD007D">
      <w:pPr>
        <w:jc w:val="both"/>
        <w:rPr>
          <w:rFonts w:cs="Calibri Light"/>
          <w:b/>
          <w:szCs w:val="20"/>
        </w:rPr>
      </w:pPr>
      <w:r>
        <w:rPr>
          <w:b/>
          <w:szCs w:val="20"/>
        </w:rPr>
        <w:t>System Sizing Assumptions</w:t>
      </w:r>
    </w:p>
    <w:tbl>
      <w:tblPr>
        <w:tblStyle w:val="TableGrid1"/>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415"/>
        <w:gridCol w:w="1619"/>
        <w:gridCol w:w="1532"/>
        <w:gridCol w:w="1350"/>
        <w:gridCol w:w="1434"/>
      </w:tblGrid>
      <w:tr w:rsidR="00BD007D" w14:paraId="29A44C96" w14:textId="77777777" w:rsidTr="00740400">
        <w:trPr>
          <w:trHeight w:val="58"/>
          <w:tblHeader/>
        </w:trPr>
        <w:tc>
          <w:tcPr>
            <w:tcW w:w="1826"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bottom"/>
          </w:tcPr>
          <w:p w14:paraId="35D71A17" w14:textId="77777777" w:rsidR="00BD007D" w:rsidRPr="00E51366" w:rsidRDefault="00BD007D" w:rsidP="00740400">
            <w:pPr>
              <w:spacing w:before="0" w:after="0" w:line="240" w:lineRule="auto"/>
              <w:jc w:val="center"/>
              <w:rPr>
                <w:rFonts w:cs="Calibri"/>
                <w:b/>
                <w:bCs/>
                <w:sz w:val="18"/>
                <w:szCs w:val="18"/>
              </w:rPr>
            </w:pPr>
            <w:r w:rsidRPr="00E51366">
              <w:rPr>
                <w:rFonts w:ascii="Calibri" w:hAnsi="Calibri" w:cs="Calibri"/>
                <w:b/>
                <w:bCs/>
                <w:color w:val="000000"/>
                <w:sz w:val="18"/>
                <w:szCs w:val="18"/>
              </w:rPr>
              <w:t>Value</w:t>
            </w:r>
          </w:p>
        </w:tc>
        <w:tc>
          <w:tcPr>
            <w:tcW w:w="866"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bottom"/>
          </w:tcPr>
          <w:p w14:paraId="1810A46C" w14:textId="77777777" w:rsidR="00BD007D" w:rsidRPr="00E51366" w:rsidRDefault="00BD007D" w:rsidP="00740400">
            <w:pPr>
              <w:spacing w:before="0" w:after="0" w:line="240" w:lineRule="auto"/>
              <w:jc w:val="center"/>
              <w:rPr>
                <w:rFonts w:cs="Arial"/>
                <w:b/>
                <w:sz w:val="18"/>
                <w:szCs w:val="18"/>
              </w:rPr>
            </w:pPr>
            <w:r w:rsidRPr="00E51366">
              <w:rPr>
                <w:rFonts w:ascii="Calibri" w:hAnsi="Calibri" w:cs="Calibri"/>
                <w:b/>
                <w:bCs/>
                <w:color w:val="000000"/>
                <w:sz w:val="18"/>
                <w:szCs w:val="18"/>
              </w:rPr>
              <w:t>SFm</w:t>
            </w:r>
          </w:p>
        </w:tc>
        <w:tc>
          <w:tcPr>
            <w:tcW w:w="819"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bottom"/>
          </w:tcPr>
          <w:p w14:paraId="51808253" w14:textId="77777777" w:rsidR="00BD007D" w:rsidRPr="00E51366" w:rsidRDefault="00BD007D" w:rsidP="00740400">
            <w:pPr>
              <w:spacing w:before="0" w:after="0" w:line="240" w:lineRule="auto"/>
              <w:jc w:val="center"/>
              <w:rPr>
                <w:rFonts w:cs="Arial"/>
                <w:b/>
                <w:sz w:val="18"/>
                <w:szCs w:val="18"/>
              </w:rPr>
            </w:pPr>
            <w:r w:rsidRPr="00E51366">
              <w:rPr>
                <w:rFonts w:ascii="Calibri" w:hAnsi="Calibri" w:cs="Calibri"/>
                <w:b/>
                <w:bCs/>
                <w:color w:val="000000"/>
                <w:sz w:val="18"/>
                <w:szCs w:val="18"/>
              </w:rPr>
              <w:t>MFm</w:t>
            </w:r>
          </w:p>
        </w:tc>
        <w:tc>
          <w:tcPr>
            <w:tcW w:w="722"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bottom"/>
          </w:tcPr>
          <w:p w14:paraId="4A1481BE" w14:textId="77777777" w:rsidR="00BD007D" w:rsidRPr="00E51366" w:rsidRDefault="00BD007D" w:rsidP="00740400">
            <w:pPr>
              <w:spacing w:before="0" w:after="0" w:line="240" w:lineRule="auto"/>
              <w:jc w:val="center"/>
              <w:rPr>
                <w:rFonts w:cs="Arial"/>
                <w:b/>
                <w:sz w:val="18"/>
                <w:szCs w:val="18"/>
              </w:rPr>
            </w:pPr>
            <w:r w:rsidRPr="00E51366">
              <w:rPr>
                <w:rFonts w:ascii="Calibri" w:hAnsi="Calibri" w:cs="Calibri"/>
                <w:b/>
                <w:bCs/>
                <w:color w:val="000000"/>
                <w:sz w:val="18"/>
                <w:szCs w:val="18"/>
              </w:rPr>
              <w:t>Dmo</w:t>
            </w:r>
          </w:p>
        </w:tc>
        <w:tc>
          <w:tcPr>
            <w:tcW w:w="767"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bottom"/>
          </w:tcPr>
          <w:p w14:paraId="0FC23CD4" w14:textId="77777777" w:rsidR="00BD007D" w:rsidRPr="00E51366" w:rsidRDefault="00BD007D" w:rsidP="00740400">
            <w:pPr>
              <w:spacing w:before="0" w:after="0" w:line="240" w:lineRule="auto"/>
              <w:jc w:val="center"/>
              <w:rPr>
                <w:rFonts w:cs="Arial"/>
                <w:b/>
                <w:sz w:val="18"/>
                <w:szCs w:val="18"/>
              </w:rPr>
            </w:pPr>
            <w:r>
              <w:rPr>
                <w:rFonts w:cs="Arial"/>
                <w:b/>
                <w:sz w:val="18"/>
                <w:szCs w:val="18"/>
              </w:rPr>
              <w:t>Total Range</w:t>
            </w:r>
          </w:p>
        </w:tc>
      </w:tr>
      <w:tr w:rsidR="00BD007D" w14:paraId="1EBB293C" w14:textId="77777777" w:rsidTr="00740400">
        <w:trPr>
          <w:trHeight w:val="273"/>
        </w:trPr>
        <w:tc>
          <w:tcPr>
            <w:tcW w:w="1826" w:type="pct"/>
            <w:tcBorders>
              <w:top w:val="single" w:sz="4" w:space="0" w:color="A6A6A6"/>
              <w:left w:val="single" w:sz="4" w:space="0" w:color="A6A6A6"/>
              <w:bottom w:val="single" w:sz="4" w:space="0" w:color="A6A6A6"/>
              <w:right w:val="single" w:sz="4" w:space="0" w:color="A6A6A6"/>
            </w:tcBorders>
          </w:tcPr>
          <w:p w14:paraId="1F1AD97B" w14:textId="77777777" w:rsidR="00BD007D" w:rsidRPr="002110BA" w:rsidRDefault="00BD007D" w:rsidP="00740400">
            <w:pPr>
              <w:spacing w:before="0" w:after="0" w:line="240" w:lineRule="auto"/>
              <w:jc w:val="center"/>
              <w:rPr>
                <w:sz w:val="18"/>
                <w:szCs w:val="18"/>
              </w:rPr>
            </w:pPr>
            <w:r w:rsidRPr="002110BA">
              <w:rPr>
                <w:sz w:val="18"/>
                <w:szCs w:val="18"/>
              </w:rPr>
              <w:t>Building Cooling Capacity Range (tons)</w:t>
            </w:r>
          </w:p>
        </w:tc>
        <w:tc>
          <w:tcPr>
            <w:tcW w:w="866" w:type="pct"/>
            <w:tcBorders>
              <w:top w:val="single" w:sz="4" w:space="0" w:color="A6A6A6"/>
              <w:left w:val="single" w:sz="4" w:space="0" w:color="A6A6A6"/>
              <w:bottom w:val="single" w:sz="4" w:space="0" w:color="A6A6A6"/>
              <w:right w:val="single" w:sz="4" w:space="0" w:color="A6A6A6"/>
            </w:tcBorders>
          </w:tcPr>
          <w:p w14:paraId="641605FE" w14:textId="48984FDD" w:rsidR="00BD007D" w:rsidRPr="002110BA" w:rsidRDefault="00BD007D" w:rsidP="00740400">
            <w:pPr>
              <w:spacing w:before="0" w:after="0" w:line="240" w:lineRule="auto"/>
              <w:jc w:val="center"/>
              <w:rPr>
                <w:sz w:val="18"/>
                <w:szCs w:val="18"/>
              </w:rPr>
            </w:pPr>
            <w:r w:rsidRPr="002110BA">
              <w:rPr>
                <w:sz w:val="18"/>
                <w:szCs w:val="18"/>
              </w:rPr>
              <w:t>2.2-4.0</w:t>
            </w:r>
          </w:p>
        </w:tc>
        <w:tc>
          <w:tcPr>
            <w:tcW w:w="819" w:type="pct"/>
            <w:tcBorders>
              <w:top w:val="single" w:sz="4" w:space="0" w:color="A6A6A6"/>
              <w:left w:val="single" w:sz="4" w:space="0" w:color="A6A6A6"/>
              <w:bottom w:val="single" w:sz="4" w:space="0" w:color="A6A6A6"/>
              <w:right w:val="single" w:sz="4" w:space="0" w:color="A6A6A6"/>
            </w:tcBorders>
          </w:tcPr>
          <w:p w14:paraId="3BF0D7F6" w14:textId="163CBE89" w:rsidR="00BD007D" w:rsidRPr="002110BA" w:rsidRDefault="00BD007D" w:rsidP="00740400">
            <w:pPr>
              <w:spacing w:before="0" w:after="0" w:line="240" w:lineRule="auto"/>
              <w:jc w:val="center"/>
              <w:rPr>
                <w:sz w:val="18"/>
                <w:szCs w:val="18"/>
              </w:rPr>
            </w:pPr>
            <w:r w:rsidRPr="002110BA">
              <w:rPr>
                <w:sz w:val="18"/>
                <w:szCs w:val="18"/>
              </w:rPr>
              <w:t>1</w:t>
            </w:r>
            <w:r w:rsidR="002A0671">
              <w:rPr>
                <w:sz w:val="18"/>
                <w:szCs w:val="18"/>
              </w:rPr>
              <w:t>.0</w:t>
            </w:r>
            <w:r w:rsidRPr="002110BA">
              <w:rPr>
                <w:sz w:val="18"/>
                <w:szCs w:val="18"/>
              </w:rPr>
              <w:t>-1.</w:t>
            </w:r>
            <w:r w:rsidR="00061786">
              <w:rPr>
                <w:sz w:val="18"/>
                <w:szCs w:val="18"/>
              </w:rPr>
              <w:t>3</w:t>
            </w:r>
          </w:p>
        </w:tc>
        <w:tc>
          <w:tcPr>
            <w:tcW w:w="722" w:type="pct"/>
            <w:tcBorders>
              <w:top w:val="single" w:sz="4" w:space="0" w:color="A6A6A6"/>
              <w:left w:val="single" w:sz="4" w:space="0" w:color="A6A6A6"/>
              <w:bottom w:val="single" w:sz="4" w:space="0" w:color="A6A6A6"/>
              <w:right w:val="single" w:sz="4" w:space="0" w:color="A6A6A6"/>
            </w:tcBorders>
          </w:tcPr>
          <w:p w14:paraId="2199C76B" w14:textId="33663ACD" w:rsidR="00BD007D" w:rsidRPr="002110BA" w:rsidRDefault="00061786" w:rsidP="00740400">
            <w:pPr>
              <w:spacing w:before="0" w:after="0" w:line="240" w:lineRule="auto"/>
              <w:jc w:val="center"/>
              <w:rPr>
                <w:sz w:val="18"/>
                <w:szCs w:val="18"/>
              </w:rPr>
            </w:pPr>
            <w:r>
              <w:rPr>
                <w:sz w:val="18"/>
                <w:szCs w:val="18"/>
              </w:rPr>
              <w:t>3.5</w:t>
            </w:r>
          </w:p>
        </w:tc>
        <w:tc>
          <w:tcPr>
            <w:tcW w:w="767" w:type="pct"/>
            <w:tcBorders>
              <w:top w:val="single" w:sz="4" w:space="0" w:color="A6A6A6"/>
              <w:left w:val="single" w:sz="4" w:space="0" w:color="A6A6A6"/>
              <w:bottom w:val="single" w:sz="4" w:space="0" w:color="A6A6A6"/>
              <w:right w:val="single" w:sz="4" w:space="0" w:color="A6A6A6"/>
            </w:tcBorders>
          </w:tcPr>
          <w:p w14:paraId="23841F8D" w14:textId="73EAAAAE" w:rsidR="00BD007D" w:rsidRPr="002110BA" w:rsidRDefault="00BD007D" w:rsidP="00740400">
            <w:pPr>
              <w:spacing w:before="0" w:after="0" w:line="240" w:lineRule="auto"/>
              <w:jc w:val="center"/>
              <w:rPr>
                <w:sz w:val="18"/>
                <w:szCs w:val="18"/>
              </w:rPr>
            </w:pPr>
            <w:r w:rsidRPr="002110BA">
              <w:rPr>
                <w:sz w:val="18"/>
                <w:szCs w:val="18"/>
              </w:rPr>
              <w:t>1</w:t>
            </w:r>
            <w:r w:rsidR="002A0671">
              <w:rPr>
                <w:sz w:val="18"/>
                <w:szCs w:val="18"/>
              </w:rPr>
              <w:t>.0</w:t>
            </w:r>
            <w:r w:rsidRPr="002110BA">
              <w:rPr>
                <w:sz w:val="18"/>
                <w:szCs w:val="18"/>
              </w:rPr>
              <w:t>-4.0</w:t>
            </w:r>
          </w:p>
        </w:tc>
      </w:tr>
      <w:tr w:rsidR="00BD007D" w14:paraId="24506CDF" w14:textId="77777777" w:rsidTr="00740400">
        <w:trPr>
          <w:trHeight w:val="280"/>
        </w:trPr>
        <w:tc>
          <w:tcPr>
            <w:tcW w:w="1826" w:type="pct"/>
            <w:tcBorders>
              <w:top w:val="single" w:sz="4" w:space="0" w:color="A6A6A6"/>
              <w:left w:val="single" w:sz="4" w:space="0" w:color="A6A6A6"/>
              <w:bottom w:val="single" w:sz="4" w:space="0" w:color="A6A6A6"/>
              <w:right w:val="single" w:sz="4" w:space="0" w:color="A6A6A6"/>
            </w:tcBorders>
          </w:tcPr>
          <w:p w14:paraId="0D29A171" w14:textId="77777777" w:rsidR="00BD007D" w:rsidRPr="002110BA" w:rsidRDefault="00BD007D" w:rsidP="00740400">
            <w:pPr>
              <w:spacing w:before="0" w:after="0" w:line="240" w:lineRule="auto"/>
              <w:jc w:val="center"/>
              <w:rPr>
                <w:sz w:val="18"/>
                <w:szCs w:val="18"/>
              </w:rPr>
            </w:pPr>
            <w:r w:rsidRPr="002110BA">
              <w:rPr>
                <w:sz w:val="18"/>
                <w:szCs w:val="18"/>
              </w:rPr>
              <w:t>Building Heating Capacity Range (kBTUh)</w:t>
            </w:r>
          </w:p>
        </w:tc>
        <w:tc>
          <w:tcPr>
            <w:tcW w:w="866" w:type="pct"/>
            <w:tcBorders>
              <w:top w:val="single" w:sz="4" w:space="0" w:color="A6A6A6"/>
              <w:left w:val="single" w:sz="4" w:space="0" w:color="A6A6A6"/>
              <w:bottom w:val="single" w:sz="4" w:space="0" w:color="A6A6A6"/>
              <w:right w:val="single" w:sz="4" w:space="0" w:color="A6A6A6"/>
            </w:tcBorders>
          </w:tcPr>
          <w:p w14:paraId="112319D6" w14:textId="596FC877" w:rsidR="00BD007D" w:rsidRPr="002110BA" w:rsidRDefault="00BD007D" w:rsidP="00740400">
            <w:pPr>
              <w:spacing w:before="0" w:after="0" w:line="240" w:lineRule="auto"/>
              <w:jc w:val="center"/>
              <w:rPr>
                <w:sz w:val="18"/>
                <w:szCs w:val="18"/>
              </w:rPr>
            </w:pPr>
            <w:r w:rsidRPr="002110BA">
              <w:rPr>
                <w:sz w:val="18"/>
                <w:szCs w:val="18"/>
              </w:rPr>
              <w:t>41.3-75.</w:t>
            </w:r>
            <w:r w:rsidR="00061786">
              <w:rPr>
                <w:sz w:val="18"/>
                <w:szCs w:val="18"/>
              </w:rPr>
              <w:t>1</w:t>
            </w:r>
          </w:p>
        </w:tc>
        <w:tc>
          <w:tcPr>
            <w:tcW w:w="819" w:type="pct"/>
            <w:tcBorders>
              <w:top w:val="single" w:sz="4" w:space="0" w:color="A6A6A6"/>
              <w:left w:val="single" w:sz="4" w:space="0" w:color="A6A6A6"/>
              <w:bottom w:val="single" w:sz="4" w:space="0" w:color="A6A6A6"/>
              <w:right w:val="single" w:sz="4" w:space="0" w:color="A6A6A6"/>
            </w:tcBorders>
          </w:tcPr>
          <w:p w14:paraId="0AA2D98C" w14:textId="7EAE9043" w:rsidR="00BD007D" w:rsidRPr="002110BA" w:rsidRDefault="00BD007D" w:rsidP="00740400">
            <w:pPr>
              <w:spacing w:before="0" w:after="0" w:line="240" w:lineRule="auto"/>
              <w:jc w:val="center"/>
              <w:rPr>
                <w:sz w:val="18"/>
                <w:szCs w:val="18"/>
              </w:rPr>
            </w:pPr>
            <w:r w:rsidRPr="002110BA">
              <w:rPr>
                <w:sz w:val="18"/>
                <w:szCs w:val="18"/>
              </w:rPr>
              <w:t>14.</w:t>
            </w:r>
            <w:r w:rsidR="00061786">
              <w:rPr>
                <w:sz w:val="18"/>
                <w:szCs w:val="18"/>
              </w:rPr>
              <w:t>9</w:t>
            </w:r>
            <w:r w:rsidRPr="002110BA">
              <w:rPr>
                <w:sz w:val="18"/>
                <w:szCs w:val="18"/>
              </w:rPr>
              <w:t>-23.9</w:t>
            </w:r>
          </w:p>
        </w:tc>
        <w:tc>
          <w:tcPr>
            <w:tcW w:w="722" w:type="pct"/>
            <w:tcBorders>
              <w:top w:val="single" w:sz="4" w:space="0" w:color="A6A6A6"/>
              <w:left w:val="single" w:sz="4" w:space="0" w:color="A6A6A6"/>
              <w:bottom w:val="single" w:sz="4" w:space="0" w:color="A6A6A6"/>
              <w:right w:val="single" w:sz="4" w:space="0" w:color="A6A6A6"/>
            </w:tcBorders>
          </w:tcPr>
          <w:p w14:paraId="2480892E" w14:textId="09E15A52" w:rsidR="00BD007D" w:rsidRPr="002110BA" w:rsidRDefault="00BD007D" w:rsidP="00740400">
            <w:pPr>
              <w:spacing w:before="0" w:after="0" w:line="240" w:lineRule="auto"/>
              <w:jc w:val="center"/>
              <w:rPr>
                <w:sz w:val="18"/>
                <w:szCs w:val="18"/>
              </w:rPr>
            </w:pPr>
            <w:r w:rsidRPr="002110BA">
              <w:rPr>
                <w:sz w:val="18"/>
                <w:szCs w:val="18"/>
              </w:rPr>
              <w:t>55</w:t>
            </w:r>
            <w:r w:rsidR="002A0671">
              <w:rPr>
                <w:sz w:val="18"/>
                <w:szCs w:val="18"/>
              </w:rPr>
              <w:t>.0</w:t>
            </w:r>
          </w:p>
        </w:tc>
        <w:tc>
          <w:tcPr>
            <w:tcW w:w="767" w:type="pct"/>
            <w:tcBorders>
              <w:top w:val="single" w:sz="4" w:space="0" w:color="A6A6A6"/>
              <w:left w:val="single" w:sz="4" w:space="0" w:color="A6A6A6"/>
              <w:bottom w:val="single" w:sz="4" w:space="0" w:color="A6A6A6"/>
              <w:right w:val="single" w:sz="4" w:space="0" w:color="A6A6A6"/>
            </w:tcBorders>
          </w:tcPr>
          <w:p w14:paraId="721B81D3" w14:textId="717F0556" w:rsidR="00BD007D" w:rsidRPr="002110BA" w:rsidRDefault="00BD007D" w:rsidP="00740400">
            <w:pPr>
              <w:spacing w:before="0" w:after="0" w:line="240" w:lineRule="auto"/>
              <w:jc w:val="center"/>
              <w:rPr>
                <w:sz w:val="18"/>
                <w:szCs w:val="18"/>
              </w:rPr>
            </w:pPr>
            <w:r w:rsidRPr="002110BA">
              <w:rPr>
                <w:sz w:val="18"/>
                <w:szCs w:val="18"/>
              </w:rPr>
              <w:t>14.</w:t>
            </w:r>
            <w:r w:rsidR="00061786">
              <w:rPr>
                <w:sz w:val="18"/>
                <w:szCs w:val="18"/>
              </w:rPr>
              <w:t>9</w:t>
            </w:r>
            <w:r w:rsidRPr="002110BA">
              <w:rPr>
                <w:sz w:val="18"/>
                <w:szCs w:val="18"/>
              </w:rPr>
              <w:t>-75.</w:t>
            </w:r>
            <w:r w:rsidR="00061786">
              <w:rPr>
                <w:sz w:val="18"/>
                <w:szCs w:val="18"/>
              </w:rPr>
              <w:t>1</w:t>
            </w:r>
          </w:p>
        </w:tc>
      </w:tr>
      <w:tr w:rsidR="00BD007D" w14:paraId="194834BA" w14:textId="77777777" w:rsidTr="00740400">
        <w:trPr>
          <w:trHeight w:val="286"/>
        </w:trPr>
        <w:tc>
          <w:tcPr>
            <w:tcW w:w="1826" w:type="pct"/>
            <w:tcBorders>
              <w:top w:val="single" w:sz="4" w:space="0" w:color="A6A6A6"/>
              <w:left w:val="single" w:sz="4" w:space="0" w:color="A6A6A6"/>
              <w:bottom w:val="single" w:sz="4" w:space="0" w:color="A6A6A6"/>
              <w:right w:val="single" w:sz="4" w:space="0" w:color="A6A6A6"/>
            </w:tcBorders>
          </w:tcPr>
          <w:p w14:paraId="3C6D6C2C" w14:textId="67BAA125" w:rsidR="00BD007D" w:rsidRPr="002110BA" w:rsidRDefault="00BD007D" w:rsidP="00740400">
            <w:pPr>
              <w:spacing w:before="0" w:after="0" w:line="240" w:lineRule="auto"/>
              <w:jc w:val="center"/>
              <w:rPr>
                <w:b/>
                <w:bCs/>
                <w:sz w:val="18"/>
                <w:szCs w:val="18"/>
              </w:rPr>
            </w:pPr>
            <w:r w:rsidRPr="002110BA">
              <w:rPr>
                <w:b/>
                <w:bCs/>
                <w:sz w:val="18"/>
                <w:szCs w:val="18"/>
              </w:rPr>
              <w:t xml:space="preserve">Assumed </w:t>
            </w:r>
            <w:r w:rsidR="00E856BF">
              <w:rPr>
                <w:b/>
                <w:bCs/>
                <w:sz w:val="18"/>
                <w:szCs w:val="18"/>
              </w:rPr>
              <w:t>No</w:t>
            </w:r>
            <w:r w:rsidR="00E64290">
              <w:rPr>
                <w:b/>
                <w:bCs/>
                <w:sz w:val="18"/>
                <w:szCs w:val="18"/>
              </w:rPr>
              <w:t>.</w:t>
            </w:r>
            <w:r w:rsidR="00E856BF">
              <w:rPr>
                <w:b/>
                <w:bCs/>
                <w:sz w:val="18"/>
                <w:szCs w:val="18"/>
              </w:rPr>
              <w:t xml:space="preserve"> of Cooling </w:t>
            </w:r>
            <w:r w:rsidRPr="002110BA">
              <w:rPr>
                <w:b/>
                <w:bCs/>
                <w:sz w:val="18"/>
                <w:szCs w:val="18"/>
              </w:rPr>
              <w:t>Units</w:t>
            </w:r>
            <w:r>
              <w:rPr>
                <w:b/>
                <w:bCs/>
                <w:sz w:val="18"/>
                <w:szCs w:val="18"/>
              </w:rPr>
              <w:t xml:space="preserve"> per Building</w:t>
            </w:r>
          </w:p>
        </w:tc>
        <w:tc>
          <w:tcPr>
            <w:tcW w:w="866" w:type="pct"/>
            <w:tcBorders>
              <w:top w:val="single" w:sz="4" w:space="0" w:color="A6A6A6"/>
              <w:left w:val="single" w:sz="4" w:space="0" w:color="A6A6A6"/>
              <w:bottom w:val="single" w:sz="4" w:space="0" w:color="A6A6A6"/>
              <w:right w:val="single" w:sz="4" w:space="0" w:color="A6A6A6"/>
            </w:tcBorders>
          </w:tcPr>
          <w:p w14:paraId="4CDBA090" w14:textId="77777777" w:rsidR="00BD007D" w:rsidRPr="002110BA" w:rsidRDefault="00BD007D" w:rsidP="00740400">
            <w:pPr>
              <w:spacing w:before="0" w:after="0" w:line="240" w:lineRule="auto"/>
              <w:jc w:val="center"/>
              <w:rPr>
                <w:b/>
                <w:bCs/>
                <w:sz w:val="18"/>
                <w:szCs w:val="18"/>
              </w:rPr>
            </w:pPr>
            <w:r w:rsidRPr="002110BA">
              <w:rPr>
                <w:b/>
                <w:bCs/>
                <w:sz w:val="18"/>
                <w:szCs w:val="18"/>
              </w:rPr>
              <w:t>2</w:t>
            </w:r>
          </w:p>
        </w:tc>
        <w:tc>
          <w:tcPr>
            <w:tcW w:w="819" w:type="pct"/>
            <w:tcBorders>
              <w:top w:val="single" w:sz="4" w:space="0" w:color="A6A6A6"/>
              <w:left w:val="single" w:sz="4" w:space="0" w:color="A6A6A6"/>
              <w:bottom w:val="single" w:sz="4" w:space="0" w:color="A6A6A6"/>
              <w:right w:val="single" w:sz="4" w:space="0" w:color="A6A6A6"/>
            </w:tcBorders>
          </w:tcPr>
          <w:p w14:paraId="20AB8038" w14:textId="77777777" w:rsidR="00BD007D" w:rsidRPr="002110BA" w:rsidRDefault="00BD007D" w:rsidP="00740400">
            <w:pPr>
              <w:spacing w:before="0" w:after="0" w:line="240" w:lineRule="auto"/>
              <w:jc w:val="center"/>
              <w:rPr>
                <w:b/>
                <w:bCs/>
                <w:sz w:val="18"/>
                <w:szCs w:val="18"/>
              </w:rPr>
            </w:pPr>
            <w:r w:rsidRPr="002110BA">
              <w:rPr>
                <w:b/>
                <w:bCs/>
                <w:sz w:val="18"/>
                <w:szCs w:val="18"/>
              </w:rPr>
              <w:t>1</w:t>
            </w:r>
          </w:p>
        </w:tc>
        <w:tc>
          <w:tcPr>
            <w:tcW w:w="722" w:type="pct"/>
            <w:tcBorders>
              <w:top w:val="single" w:sz="4" w:space="0" w:color="A6A6A6"/>
              <w:left w:val="single" w:sz="4" w:space="0" w:color="A6A6A6"/>
              <w:bottom w:val="single" w:sz="4" w:space="0" w:color="A6A6A6"/>
              <w:right w:val="single" w:sz="4" w:space="0" w:color="A6A6A6"/>
            </w:tcBorders>
          </w:tcPr>
          <w:p w14:paraId="6E6297E4" w14:textId="77777777" w:rsidR="00BD007D" w:rsidRPr="002110BA" w:rsidRDefault="00BD007D" w:rsidP="00740400">
            <w:pPr>
              <w:spacing w:before="0" w:after="0" w:line="240" w:lineRule="auto"/>
              <w:jc w:val="center"/>
              <w:rPr>
                <w:b/>
                <w:bCs/>
                <w:sz w:val="18"/>
                <w:szCs w:val="18"/>
              </w:rPr>
            </w:pPr>
            <w:r w:rsidRPr="002110BA">
              <w:rPr>
                <w:b/>
                <w:bCs/>
                <w:sz w:val="18"/>
                <w:szCs w:val="18"/>
              </w:rPr>
              <w:t>2</w:t>
            </w:r>
          </w:p>
        </w:tc>
        <w:tc>
          <w:tcPr>
            <w:tcW w:w="767" w:type="pct"/>
            <w:tcBorders>
              <w:top w:val="single" w:sz="4" w:space="0" w:color="A6A6A6"/>
              <w:left w:val="single" w:sz="4" w:space="0" w:color="A6A6A6"/>
              <w:bottom w:val="single" w:sz="4" w:space="0" w:color="A6A6A6"/>
              <w:right w:val="single" w:sz="4" w:space="0" w:color="A6A6A6"/>
            </w:tcBorders>
          </w:tcPr>
          <w:p w14:paraId="576A04D5" w14:textId="77777777" w:rsidR="00BD007D" w:rsidRPr="002110BA" w:rsidRDefault="00BD007D" w:rsidP="00740400">
            <w:pPr>
              <w:spacing w:before="0" w:after="0" w:line="240" w:lineRule="auto"/>
              <w:jc w:val="center"/>
              <w:rPr>
                <w:sz w:val="18"/>
                <w:szCs w:val="18"/>
              </w:rPr>
            </w:pPr>
          </w:p>
        </w:tc>
      </w:tr>
      <w:tr w:rsidR="00E856BF" w14:paraId="64954BE0" w14:textId="77777777" w:rsidTr="00740400">
        <w:trPr>
          <w:trHeight w:val="286"/>
        </w:trPr>
        <w:tc>
          <w:tcPr>
            <w:tcW w:w="1826" w:type="pct"/>
            <w:tcBorders>
              <w:top w:val="single" w:sz="4" w:space="0" w:color="A6A6A6"/>
              <w:left w:val="single" w:sz="4" w:space="0" w:color="A6A6A6"/>
              <w:bottom w:val="single" w:sz="4" w:space="0" w:color="A6A6A6"/>
              <w:right w:val="single" w:sz="4" w:space="0" w:color="A6A6A6"/>
            </w:tcBorders>
          </w:tcPr>
          <w:p w14:paraId="28B90362" w14:textId="07A4F940" w:rsidR="00E856BF" w:rsidRPr="002110BA" w:rsidRDefault="00E856BF" w:rsidP="00E856BF">
            <w:pPr>
              <w:spacing w:before="0" w:after="0" w:line="240" w:lineRule="auto"/>
              <w:jc w:val="center"/>
              <w:rPr>
                <w:b/>
                <w:bCs/>
                <w:sz w:val="18"/>
                <w:szCs w:val="18"/>
              </w:rPr>
            </w:pPr>
            <w:r w:rsidRPr="002110BA">
              <w:rPr>
                <w:b/>
                <w:bCs/>
                <w:sz w:val="18"/>
                <w:szCs w:val="18"/>
              </w:rPr>
              <w:lastRenderedPageBreak/>
              <w:t xml:space="preserve">Assumed </w:t>
            </w:r>
            <w:r>
              <w:rPr>
                <w:b/>
                <w:bCs/>
                <w:sz w:val="18"/>
                <w:szCs w:val="18"/>
              </w:rPr>
              <w:t>No</w:t>
            </w:r>
            <w:r w:rsidR="00E64290">
              <w:rPr>
                <w:b/>
                <w:bCs/>
                <w:sz w:val="18"/>
                <w:szCs w:val="18"/>
              </w:rPr>
              <w:t>.</w:t>
            </w:r>
            <w:r>
              <w:rPr>
                <w:b/>
                <w:bCs/>
                <w:sz w:val="18"/>
                <w:szCs w:val="18"/>
              </w:rPr>
              <w:t xml:space="preserve"> of Heating </w:t>
            </w:r>
            <w:r w:rsidRPr="002110BA">
              <w:rPr>
                <w:b/>
                <w:bCs/>
                <w:sz w:val="18"/>
                <w:szCs w:val="18"/>
              </w:rPr>
              <w:t>Units</w:t>
            </w:r>
            <w:r>
              <w:rPr>
                <w:b/>
                <w:bCs/>
                <w:sz w:val="18"/>
                <w:szCs w:val="18"/>
              </w:rPr>
              <w:t xml:space="preserve"> per Building</w:t>
            </w:r>
          </w:p>
        </w:tc>
        <w:tc>
          <w:tcPr>
            <w:tcW w:w="866" w:type="pct"/>
            <w:tcBorders>
              <w:top w:val="single" w:sz="4" w:space="0" w:color="A6A6A6"/>
              <w:left w:val="single" w:sz="4" w:space="0" w:color="A6A6A6"/>
              <w:bottom w:val="single" w:sz="4" w:space="0" w:color="A6A6A6"/>
              <w:right w:val="single" w:sz="4" w:space="0" w:color="A6A6A6"/>
            </w:tcBorders>
          </w:tcPr>
          <w:p w14:paraId="5CC39A85" w14:textId="16544034" w:rsidR="00E856BF" w:rsidRPr="002110BA" w:rsidRDefault="002A0671" w:rsidP="00E856BF">
            <w:pPr>
              <w:spacing w:before="0" w:after="0" w:line="240" w:lineRule="auto"/>
              <w:jc w:val="center"/>
              <w:rPr>
                <w:b/>
                <w:bCs/>
                <w:sz w:val="18"/>
                <w:szCs w:val="18"/>
              </w:rPr>
            </w:pPr>
            <w:r>
              <w:rPr>
                <w:b/>
                <w:bCs/>
                <w:sz w:val="18"/>
                <w:szCs w:val="18"/>
              </w:rPr>
              <w:t>2</w:t>
            </w:r>
          </w:p>
        </w:tc>
        <w:tc>
          <w:tcPr>
            <w:tcW w:w="819" w:type="pct"/>
            <w:tcBorders>
              <w:top w:val="single" w:sz="4" w:space="0" w:color="A6A6A6"/>
              <w:left w:val="single" w:sz="4" w:space="0" w:color="A6A6A6"/>
              <w:bottom w:val="single" w:sz="4" w:space="0" w:color="A6A6A6"/>
              <w:right w:val="single" w:sz="4" w:space="0" w:color="A6A6A6"/>
            </w:tcBorders>
          </w:tcPr>
          <w:p w14:paraId="570BCAF0" w14:textId="392FC556" w:rsidR="00E856BF" w:rsidRPr="002110BA" w:rsidRDefault="002A0671" w:rsidP="00E856BF">
            <w:pPr>
              <w:spacing w:before="0" w:after="0" w:line="240" w:lineRule="auto"/>
              <w:jc w:val="center"/>
              <w:rPr>
                <w:b/>
                <w:bCs/>
                <w:sz w:val="18"/>
                <w:szCs w:val="18"/>
              </w:rPr>
            </w:pPr>
            <w:r>
              <w:rPr>
                <w:b/>
                <w:bCs/>
                <w:sz w:val="18"/>
                <w:szCs w:val="18"/>
              </w:rPr>
              <w:t>1</w:t>
            </w:r>
          </w:p>
        </w:tc>
        <w:tc>
          <w:tcPr>
            <w:tcW w:w="722" w:type="pct"/>
            <w:tcBorders>
              <w:top w:val="single" w:sz="4" w:space="0" w:color="A6A6A6"/>
              <w:left w:val="single" w:sz="4" w:space="0" w:color="A6A6A6"/>
              <w:bottom w:val="single" w:sz="4" w:space="0" w:color="A6A6A6"/>
              <w:right w:val="single" w:sz="4" w:space="0" w:color="A6A6A6"/>
            </w:tcBorders>
          </w:tcPr>
          <w:p w14:paraId="7A75453B" w14:textId="78B241CA" w:rsidR="00E856BF" w:rsidRPr="002110BA" w:rsidRDefault="002A0671" w:rsidP="00E856BF">
            <w:pPr>
              <w:spacing w:before="0" w:after="0" w:line="240" w:lineRule="auto"/>
              <w:jc w:val="center"/>
              <w:rPr>
                <w:b/>
                <w:bCs/>
                <w:sz w:val="18"/>
                <w:szCs w:val="18"/>
              </w:rPr>
            </w:pPr>
            <w:r>
              <w:rPr>
                <w:b/>
                <w:bCs/>
                <w:sz w:val="18"/>
                <w:szCs w:val="18"/>
              </w:rPr>
              <w:t>2</w:t>
            </w:r>
          </w:p>
        </w:tc>
        <w:tc>
          <w:tcPr>
            <w:tcW w:w="767" w:type="pct"/>
            <w:tcBorders>
              <w:top w:val="single" w:sz="4" w:space="0" w:color="A6A6A6"/>
              <w:left w:val="single" w:sz="4" w:space="0" w:color="A6A6A6"/>
              <w:bottom w:val="single" w:sz="4" w:space="0" w:color="A6A6A6"/>
              <w:right w:val="single" w:sz="4" w:space="0" w:color="A6A6A6"/>
            </w:tcBorders>
          </w:tcPr>
          <w:p w14:paraId="7FEDE5C9" w14:textId="77777777" w:rsidR="00E856BF" w:rsidRPr="002110BA" w:rsidRDefault="00E856BF" w:rsidP="00E856BF">
            <w:pPr>
              <w:spacing w:before="0" w:after="0" w:line="240" w:lineRule="auto"/>
              <w:jc w:val="center"/>
              <w:rPr>
                <w:sz w:val="18"/>
                <w:szCs w:val="18"/>
              </w:rPr>
            </w:pPr>
          </w:p>
        </w:tc>
      </w:tr>
      <w:tr w:rsidR="00E856BF" w14:paraId="00507BC6" w14:textId="77777777" w:rsidTr="00740400">
        <w:trPr>
          <w:trHeight w:val="286"/>
        </w:trPr>
        <w:tc>
          <w:tcPr>
            <w:tcW w:w="1826" w:type="pct"/>
            <w:tcBorders>
              <w:top w:val="single" w:sz="4" w:space="0" w:color="A6A6A6"/>
              <w:left w:val="single" w:sz="4" w:space="0" w:color="A6A6A6"/>
              <w:bottom w:val="single" w:sz="4" w:space="0" w:color="A6A6A6"/>
              <w:right w:val="single" w:sz="4" w:space="0" w:color="A6A6A6"/>
            </w:tcBorders>
          </w:tcPr>
          <w:p w14:paraId="021B72C7" w14:textId="77777777" w:rsidR="00E856BF" w:rsidRPr="002110BA" w:rsidRDefault="00E856BF" w:rsidP="00E856BF">
            <w:pPr>
              <w:spacing w:before="0" w:after="0" w:line="240" w:lineRule="auto"/>
              <w:jc w:val="center"/>
              <w:rPr>
                <w:sz w:val="18"/>
                <w:szCs w:val="18"/>
              </w:rPr>
            </w:pPr>
            <w:r w:rsidRPr="002110BA">
              <w:rPr>
                <w:sz w:val="18"/>
                <w:szCs w:val="18"/>
              </w:rPr>
              <w:t>Cooling Capacity per Unit Range (tons)</w:t>
            </w:r>
          </w:p>
        </w:tc>
        <w:tc>
          <w:tcPr>
            <w:tcW w:w="866" w:type="pct"/>
            <w:tcBorders>
              <w:top w:val="single" w:sz="4" w:space="0" w:color="A6A6A6"/>
              <w:left w:val="single" w:sz="4" w:space="0" w:color="A6A6A6"/>
              <w:bottom w:val="single" w:sz="4" w:space="0" w:color="A6A6A6"/>
              <w:right w:val="single" w:sz="4" w:space="0" w:color="A6A6A6"/>
            </w:tcBorders>
          </w:tcPr>
          <w:p w14:paraId="720F0066" w14:textId="560A03B0" w:rsidR="00E856BF" w:rsidRPr="002110BA" w:rsidRDefault="00E856BF" w:rsidP="00E856BF">
            <w:pPr>
              <w:spacing w:before="0" w:after="0" w:line="240" w:lineRule="auto"/>
              <w:jc w:val="center"/>
              <w:rPr>
                <w:sz w:val="18"/>
                <w:szCs w:val="18"/>
              </w:rPr>
            </w:pPr>
            <w:r w:rsidRPr="002110BA">
              <w:rPr>
                <w:sz w:val="18"/>
                <w:szCs w:val="18"/>
              </w:rPr>
              <w:t>1.1-2.0</w:t>
            </w:r>
          </w:p>
        </w:tc>
        <w:tc>
          <w:tcPr>
            <w:tcW w:w="819" w:type="pct"/>
            <w:tcBorders>
              <w:top w:val="single" w:sz="4" w:space="0" w:color="A6A6A6"/>
              <w:left w:val="single" w:sz="4" w:space="0" w:color="A6A6A6"/>
              <w:bottom w:val="single" w:sz="4" w:space="0" w:color="A6A6A6"/>
              <w:right w:val="single" w:sz="4" w:space="0" w:color="A6A6A6"/>
            </w:tcBorders>
          </w:tcPr>
          <w:p w14:paraId="448F4D88" w14:textId="593C59EB" w:rsidR="00E856BF" w:rsidRPr="002110BA" w:rsidRDefault="00E856BF" w:rsidP="00E856BF">
            <w:pPr>
              <w:spacing w:before="0" w:after="0" w:line="240" w:lineRule="auto"/>
              <w:jc w:val="center"/>
              <w:rPr>
                <w:sz w:val="18"/>
                <w:szCs w:val="18"/>
              </w:rPr>
            </w:pPr>
            <w:r w:rsidRPr="002110BA">
              <w:rPr>
                <w:sz w:val="18"/>
                <w:szCs w:val="18"/>
              </w:rPr>
              <w:t>1</w:t>
            </w:r>
            <w:r w:rsidR="002A0671">
              <w:rPr>
                <w:sz w:val="18"/>
                <w:szCs w:val="18"/>
              </w:rPr>
              <w:t>.0</w:t>
            </w:r>
            <w:r w:rsidRPr="002110BA">
              <w:rPr>
                <w:sz w:val="18"/>
                <w:szCs w:val="18"/>
              </w:rPr>
              <w:t>-1.</w:t>
            </w:r>
            <w:r>
              <w:rPr>
                <w:sz w:val="18"/>
                <w:szCs w:val="18"/>
              </w:rPr>
              <w:t>3</w:t>
            </w:r>
          </w:p>
        </w:tc>
        <w:tc>
          <w:tcPr>
            <w:tcW w:w="722" w:type="pct"/>
            <w:tcBorders>
              <w:top w:val="single" w:sz="4" w:space="0" w:color="A6A6A6"/>
              <w:left w:val="single" w:sz="4" w:space="0" w:color="A6A6A6"/>
              <w:bottom w:val="single" w:sz="4" w:space="0" w:color="A6A6A6"/>
              <w:right w:val="single" w:sz="4" w:space="0" w:color="A6A6A6"/>
            </w:tcBorders>
          </w:tcPr>
          <w:p w14:paraId="489E2A5B" w14:textId="22DA5AC8" w:rsidR="00E856BF" w:rsidRPr="002110BA" w:rsidRDefault="00E856BF" w:rsidP="00E856BF">
            <w:pPr>
              <w:spacing w:before="0" w:after="0" w:line="240" w:lineRule="auto"/>
              <w:jc w:val="center"/>
              <w:rPr>
                <w:sz w:val="18"/>
                <w:szCs w:val="18"/>
              </w:rPr>
            </w:pPr>
            <w:r w:rsidRPr="002110BA">
              <w:rPr>
                <w:sz w:val="18"/>
                <w:szCs w:val="18"/>
              </w:rPr>
              <w:t>1.</w:t>
            </w:r>
            <w:r w:rsidR="002A0671">
              <w:rPr>
                <w:sz w:val="18"/>
                <w:szCs w:val="18"/>
              </w:rPr>
              <w:t>8</w:t>
            </w:r>
          </w:p>
        </w:tc>
        <w:tc>
          <w:tcPr>
            <w:tcW w:w="767" w:type="pct"/>
            <w:tcBorders>
              <w:top w:val="single" w:sz="4" w:space="0" w:color="A6A6A6"/>
              <w:left w:val="single" w:sz="4" w:space="0" w:color="A6A6A6"/>
              <w:bottom w:val="single" w:sz="4" w:space="0" w:color="A6A6A6"/>
              <w:right w:val="single" w:sz="4" w:space="0" w:color="A6A6A6"/>
            </w:tcBorders>
          </w:tcPr>
          <w:p w14:paraId="76CBB7A0" w14:textId="2DD9804D" w:rsidR="00E856BF" w:rsidRPr="002110BA" w:rsidRDefault="00E856BF" w:rsidP="00E856BF">
            <w:pPr>
              <w:spacing w:before="0" w:after="0" w:line="240" w:lineRule="auto"/>
              <w:jc w:val="center"/>
              <w:rPr>
                <w:sz w:val="18"/>
                <w:szCs w:val="18"/>
              </w:rPr>
            </w:pPr>
            <w:r w:rsidRPr="002110BA">
              <w:rPr>
                <w:sz w:val="18"/>
                <w:szCs w:val="18"/>
              </w:rPr>
              <w:t>1</w:t>
            </w:r>
            <w:r>
              <w:rPr>
                <w:sz w:val="18"/>
                <w:szCs w:val="18"/>
              </w:rPr>
              <w:t>.0</w:t>
            </w:r>
            <w:r w:rsidRPr="002110BA">
              <w:rPr>
                <w:sz w:val="18"/>
                <w:szCs w:val="18"/>
              </w:rPr>
              <w:t>-2.0</w:t>
            </w:r>
          </w:p>
        </w:tc>
      </w:tr>
      <w:tr w:rsidR="00E856BF" w14:paraId="1241B493" w14:textId="77777777" w:rsidTr="00740400">
        <w:trPr>
          <w:trHeight w:val="280"/>
        </w:trPr>
        <w:tc>
          <w:tcPr>
            <w:tcW w:w="1826" w:type="pct"/>
            <w:tcBorders>
              <w:top w:val="single" w:sz="4" w:space="0" w:color="A6A6A6"/>
              <w:left w:val="single" w:sz="4" w:space="0" w:color="A6A6A6"/>
              <w:bottom w:val="single" w:sz="4" w:space="0" w:color="A6A6A6"/>
              <w:right w:val="single" w:sz="4" w:space="0" w:color="A6A6A6"/>
            </w:tcBorders>
          </w:tcPr>
          <w:p w14:paraId="2AA91E24" w14:textId="77777777" w:rsidR="00E856BF" w:rsidRPr="002110BA" w:rsidRDefault="00E856BF" w:rsidP="00E856BF">
            <w:pPr>
              <w:spacing w:before="0" w:after="0" w:line="240" w:lineRule="auto"/>
              <w:jc w:val="center"/>
              <w:rPr>
                <w:sz w:val="18"/>
                <w:szCs w:val="18"/>
              </w:rPr>
            </w:pPr>
            <w:r w:rsidRPr="002110BA">
              <w:rPr>
                <w:sz w:val="18"/>
                <w:szCs w:val="18"/>
              </w:rPr>
              <w:t>Heating Capacity per Unit Range (kBTUh)</w:t>
            </w:r>
          </w:p>
        </w:tc>
        <w:tc>
          <w:tcPr>
            <w:tcW w:w="866" w:type="pct"/>
            <w:tcBorders>
              <w:top w:val="single" w:sz="4" w:space="0" w:color="A6A6A6"/>
              <w:left w:val="single" w:sz="4" w:space="0" w:color="A6A6A6"/>
              <w:bottom w:val="single" w:sz="4" w:space="0" w:color="A6A6A6"/>
              <w:right w:val="single" w:sz="4" w:space="0" w:color="A6A6A6"/>
            </w:tcBorders>
          </w:tcPr>
          <w:p w14:paraId="34F6224C" w14:textId="22C92DB7" w:rsidR="00E856BF" w:rsidRPr="002110BA" w:rsidRDefault="00E856BF" w:rsidP="00E856BF">
            <w:pPr>
              <w:spacing w:before="0" w:after="0" w:line="240" w:lineRule="auto"/>
              <w:jc w:val="center"/>
              <w:rPr>
                <w:sz w:val="18"/>
                <w:szCs w:val="18"/>
              </w:rPr>
            </w:pPr>
            <w:r w:rsidRPr="002110BA">
              <w:rPr>
                <w:sz w:val="18"/>
                <w:szCs w:val="18"/>
              </w:rPr>
              <w:t>20.</w:t>
            </w:r>
            <w:r>
              <w:rPr>
                <w:sz w:val="18"/>
                <w:szCs w:val="18"/>
              </w:rPr>
              <w:t>7</w:t>
            </w:r>
            <w:r w:rsidRPr="002110BA">
              <w:rPr>
                <w:sz w:val="18"/>
                <w:szCs w:val="18"/>
              </w:rPr>
              <w:t>-37.5</w:t>
            </w:r>
          </w:p>
        </w:tc>
        <w:tc>
          <w:tcPr>
            <w:tcW w:w="819" w:type="pct"/>
            <w:tcBorders>
              <w:top w:val="single" w:sz="4" w:space="0" w:color="A6A6A6"/>
              <w:left w:val="single" w:sz="4" w:space="0" w:color="A6A6A6"/>
              <w:bottom w:val="single" w:sz="4" w:space="0" w:color="A6A6A6"/>
              <w:right w:val="single" w:sz="4" w:space="0" w:color="A6A6A6"/>
            </w:tcBorders>
          </w:tcPr>
          <w:p w14:paraId="618E8FF4" w14:textId="576976B7" w:rsidR="00E856BF" w:rsidRPr="002110BA" w:rsidRDefault="00E856BF" w:rsidP="00E856BF">
            <w:pPr>
              <w:spacing w:before="0" w:after="0" w:line="240" w:lineRule="auto"/>
              <w:jc w:val="center"/>
              <w:rPr>
                <w:sz w:val="18"/>
                <w:szCs w:val="18"/>
              </w:rPr>
            </w:pPr>
            <w:r w:rsidRPr="002110BA">
              <w:rPr>
                <w:sz w:val="18"/>
                <w:szCs w:val="18"/>
              </w:rPr>
              <w:t>14.</w:t>
            </w:r>
            <w:r>
              <w:rPr>
                <w:sz w:val="18"/>
                <w:szCs w:val="18"/>
              </w:rPr>
              <w:t>9</w:t>
            </w:r>
            <w:r w:rsidRPr="002110BA">
              <w:rPr>
                <w:sz w:val="18"/>
                <w:szCs w:val="18"/>
              </w:rPr>
              <w:t>-23.9</w:t>
            </w:r>
          </w:p>
        </w:tc>
        <w:tc>
          <w:tcPr>
            <w:tcW w:w="722" w:type="pct"/>
            <w:tcBorders>
              <w:top w:val="single" w:sz="4" w:space="0" w:color="A6A6A6"/>
              <w:left w:val="single" w:sz="4" w:space="0" w:color="A6A6A6"/>
              <w:bottom w:val="single" w:sz="4" w:space="0" w:color="A6A6A6"/>
              <w:right w:val="single" w:sz="4" w:space="0" w:color="A6A6A6"/>
            </w:tcBorders>
          </w:tcPr>
          <w:p w14:paraId="35357562" w14:textId="03FC3FD2" w:rsidR="00E856BF" w:rsidRPr="002110BA" w:rsidRDefault="00E856BF" w:rsidP="00E856BF">
            <w:pPr>
              <w:spacing w:before="0" w:after="0" w:line="240" w:lineRule="auto"/>
              <w:jc w:val="center"/>
              <w:rPr>
                <w:sz w:val="18"/>
                <w:szCs w:val="18"/>
              </w:rPr>
            </w:pPr>
            <w:r w:rsidRPr="002110BA">
              <w:rPr>
                <w:sz w:val="18"/>
                <w:szCs w:val="18"/>
              </w:rPr>
              <w:t>27.5</w:t>
            </w:r>
          </w:p>
        </w:tc>
        <w:tc>
          <w:tcPr>
            <w:tcW w:w="767" w:type="pct"/>
            <w:tcBorders>
              <w:top w:val="single" w:sz="4" w:space="0" w:color="A6A6A6"/>
              <w:left w:val="single" w:sz="4" w:space="0" w:color="A6A6A6"/>
              <w:bottom w:val="single" w:sz="4" w:space="0" w:color="A6A6A6"/>
              <w:right w:val="single" w:sz="4" w:space="0" w:color="A6A6A6"/>
            </w:tcBorders>
          </w:tcPr>
          <w:p w14:paraId="5EE50019" w14:textId="67BD6921" w:rsidR="00E856BF" w:rsidRPr="002110BA" w:rsidRDefault="00E856BF" w:rsidP="00E856BF">
            <w:pPr>
              <w:spacing w:before="0" w:after="0" w:line="240" w:lineRule="auto"/>
              <w:jc w:val="center"/>
              <w:rPr>
                <w:sz w:val="18"/>
                <w:szCs w:val="18"/>
              </w:rPr>
            </w:pPr>
            <w:r w:rsidRPr="002110BA">
              <w:rPr>
                <w:sz w:val="18"/>
                <w:szCs w:val="18"/>
              </w:rPr>
              <w:t>14.</w:t>
            </w:r>
            <w:r>
              <w:rPr>
                <w:sz w:val="18"/>
                <w:szCs w:val="18"/>
              </w:rPr>
              <w:t>9</w:t>
            </w:r>
            <w:r w:rsidRPr="002110BA">
              <w:rPr>
                <w:sz w:val="18"/>
                <w:szCs w:val="18"/>
              </w:rPr>
              <w:t>-37.5</w:t>
            </w:r>
          </w:p>
        </w:tc>
      </w:tr>
    </w:tbl>
    <w:p w14:paraId="14620574" w14:textId="77777777" w:rsidR="00747BE4" w:rsidRDefault="00747BE4" w:rsidP="005335B3">
      <w:pPr>
        <w:pStyle w:val="Normal1"/>
        <w:tabs>
          <w:tab w:val="left" w:pos="1695"/>
        </w:tabs>
        <w:jc w:val="both"/>
        <w:rPr>
          <w:rFonts w:ascii="Calibri Light" w:hAnsi="Calibri Light" w:cs="Calibri Light"/>
        </w:rPr>
      </w:pPr>
    </w:p>
    <w:p w14:paraId="7E203308" w14:textId="77777777" w:rsidR="00F9747E" w:rsidRDefault="00F9747E" w:rsidP="005335B3">
      <w:pPr>
        <w:pStyle w:val="Normal1"/>
        <w:tabs>
          <w:tab w:val="left" w:pos="1695"/>
        </w:tabs>
        <w:jc w:val="both"/>
        <w:rPr>
          <w:rFonts w:ascii="Calibri Light" w:hAnsi="Calibri Light" w:cs="Calibri Light"/>
        </w:rPr>
      </w:pPr>
    </w:p>
    <w:p w14:paraId="15A8EAFC" w14:textId="593AA94D" w:rsidR="005335B3" w:rsidRDefault="005335B3" w:rsidP="005335B3">
      <w:pPr>
        <w:pStyle w:val="Normal1"/>
        <w:tabs>
          <w:tab w:val="left" w:pos="1695"/>
        </w:tabs>
        <w:jc w:val="both"/>
        <w:rPr>
          <w:rFonts w:ascii="Calibri Light" w:hAnsi="Calibri Light" w:cs="Calibri Light"/>
        </w:rPr>
      </w:pPr>
      <w:bookmarkStart w:id="55" w:name="_Hlk52525772"/>
      <w:r>
        <w:rPr>
          <w:rFonts w:ascii="Calibri Light" w:hAnsi="Calibri Light" w:cs="Calibri Light"/>
        </w:rPr>
        <w:t>Costing was standardized for wall furnace</w:t>
      </w:r>
      <w:r w:rsidR="00004D90">
        <w:rPr>
          <w:rFonts w:ascii="Calibri Light" w:hAnsi="Calibri Light" w:cs="Calibri Light"/>
        </w:rPr>
        <w:t>s</w:t>
      </w:r>
      <w:r>
        <w:rPr>
          <w:rFonts w:ascii="Calibri Light" w:hAnsi="Calibri Light" w:cs="Calibri Light"/>
        </w:rPr>
        <w:t xml:space="preserve"> due to a large price difference based on furnace type. The base material cost for the furnace was restricted to a single-sided vented gravity wall furnace with horizontal flow</w:t>
      </w:r>
      <w:r w:rsidR="00E3049F">
        <w:rPr>
          <w:rFonts w:ascii="Calibri Light" w:hAnsi="Calibri Light" w:cs="Calibri Light"/>
        </w:rPr>
        <w:t>, which are the most common types of wall furnaces</w:t>
      </w:r>
      <w:r w:rsidR="00E3049F">
        <w:rPr>
          <w:rStyle w:val="FootnoteReference"/>
          <w:rFonts w:ascii="Calibri Light" w:hAnsi="Calibri Light" w:cs="Calibri Light"/>
        </w:rPr>
        <w:footnoteReference w:id="19"/>
      </w:r>
      <w:r w:rsidR="00E3049F">
        <w:rPr>
          <w:rFonts w:ascii="Calibri Light" w:hAnsi="Calibri Light" w:cs="Calibri Light"/>
        </w:rPr>
        <w:t>.</w:t>
      </w:r>
      <w:r w:rsidR="00F9747E">
        <w:rPr>
          <w:rFonts w:ascii="Calibri Light" w:hAnsi="Calibri Light" w:cs="Calibri Light"/>
        </w:rPr>
        <w:t xml:space="preserve"> </w:t>
      </w:r>
      <w:r w:rsidR="00F2535C">
        <w:rPr>
          <w:rFonts w:ascii="Calibri Light" w:hAnsi="Calibri Light" w:cs="Calibri Light"/>
        </w:rPr>
        <w:t xml:space="preserve"> Wall furnace and window air conditioner costs w</w:t>
      </w:r>
      <w:r w:rsidR="00C018D8">
        <w:rPr>
          <w:rFonts w:ascii="Calibri Light" w:hAnsi="Calibri Light" w:cs="Calibri Light"/>
        </w:rPr>
        <w:t xml:space="preserve">ere collected only for </w:t>
      </w:r>
      <w:r w:rsidR="00DF5D43">
        <w:rPr>
          <w:rFonts w:ascii="Calibri Light" w:hAnsi="Calibri Light" w:cs="Calibri Light"/>
        </w:rPr>
        <w:t>units within the heating and cooling</w:t>
      </w:r>
      <w:r w:rsidR="00F948E8">
        <w:rPr>
          <w:rFonts w:ascii="Calibri Light" w:hAnsi="Calibri Light" w:cs="Calibri Light"/>
        </w:rPr>
        <w:t xml:space="preserve"> unit size ranges in the table above</w:t>
      </w:r>
      <w:r>
        <w:rPr>
          <w:rFonts w:ascii="Calibri Light" w:hAnsi="Calibri Light" w:cs="Calibri Light"/>
        </w:rPr>
        <w:t xml:space="preserve">. The </w:t>
      </w:r>
      <w:r w:rsidR="008A3AF0">
        <w:rPr>
          <w:rFonts w:ascii="Calibri Light" w:hAnsi="Calibri Light" w:cs="Calibri Light"/>
        </w:rPr>
        <w:t xml:space="preserve">total </w:t>
      </w:r>
      <w:r>
        <w:rPr>
          <w:rFonts w:ascii="Calibri Light" w:hAnsi="Calibri Light" w:cs="Calibri Light"/>
        </w:rPr>
        <w:t>cost of the window air conditioner units was normalized on a per ton basis.</w:t>
      </w:r>
      <w:r w:rsidR="00F9747E">
        <w:rPr>
          <w:rFonts w:ascii="Calibri Light" w:hAnsi="Calibri Light" w:cs="Calibri Light"/>
        </w:rPr>
        <w:t xml:space="preserve"> As furnaces are not categorized by tonnage</w:t>
      </w:r>
      <w:r w:rsidR="00527072">
        <w:rPr>
          <w:rFonts w:ascii="Calibri Light" w:hAnsi="Calibri Light" w:cs="Calibri Light"/>
        </w:rPr>
        <w:t>; however given that the measure case is normalized on a “per-ton”</w:t>
      </w:r>
      <w:r w:rsidR="00F0280D">
        <w:rPr>
          <w:rFonts w:ascii="Calibri Light" w:hAnsi="Calibri Light" w:cs="Calibri Light"/>
        </w:rPr>
        <w:t xml:space="preserve"> basis, </w:t>
      </w:r>
      <w:r w:rsidR="003577E9">
        <w:rPr>
          <w:rFonts w:ascii="Calibri Light" w:hAnsi="Calibri Light" w:cs="Calibri Light"/>
        </w:rPr>
        <w:t>the average cost of furnaces was</w:t>
      </w:r>
      <w:r w:rsidR="003577E9" w:rsidRPr="003577E9">
        <w:rPr>
          <w:rFonts w:ascii="Calibri Light" w:eastAsiaTheme="minorEastAsia" w:hAnsi="Calibri Light" w:cs="Calibri Light"/>
          <w:color w:val="auto"/>
          <w:szCs w:val="24"/>
        </w:rPr>
        <w:t xml:space="preserve"> </w:t>
      </w:r>
      <w:r w:rsidR="003577E9">
        <w:rPr>
          <w:rFonts w:ascii="Calibri Light" w:eastAsiaTheme="minorEastAsia" w:hAnsi="Calibri Light" w:cs="Calibri Light"/>
          <w:color w:val="auto"/>
          <w:szCs w:val="24"/>
        </w:rPr>
        <w:t xml:space="preserve">normalized </w:t>
      </w:r>
      <w:r w:rsidR="00F0280D">
        <w:rPr>
          <w:rFonts w:ascii="Calibri Light" w:eastAsiaTheme="minorEastAsia" w:hAnsi="Calibri Light" w:cs="Calibri Light"/>
          <w:color w:val="auto"/>
          <w:szCs w:val="24"/>
        </w:rPr>
        <w:t xml:space="preserve">at the </w:t>
      </w:r>
      <w:r w:rsidR="003577E9">
        <w:rPr>
          <w:rFonts w:ascii="Calibri Light" w:eastAsiaTheme="minorEastAsia" w:hAnsi="Calibri Light" w:cs="Calibri Light"/>
          <w:color w:val="auto"/>
          <w:szCs w:val="24"/>
        </w:rPr>
        <w:t xml:space="preserve">midpoint system </w:t>
      </w:r>
      <w:r w:rsidR="00BD007D">
        <w:rPr>
          <w:rFonts w:ascii="Calibri Light" w:eastAsiaTheme="minorEastAsia" w:hAnsi="Calibri Light" w:cs="Calibri Light"/>
          <w:color w:val="auto"/>
          <w:szCs w:val="24"/>
        </w:rPr>
        <w:t xml:space="preserve">size of the window air conditioners which was </w:t>
      </w:r>
      <w:r w:rsidR="00F0280D">
        <w:rPr>
          <w:rFonts w:ascii="Calibri Light" w:eastAsiaTheme="minorEastAsia" w:hAnsi="Calibri Light" w:cs="Calibri Light"/>
          <w:color w:val="auto"/>
          <w:szCs w:val="24"/>
        </w:rPr>
        <w:t>determined</w:t>
      </w:r>
      <w:r w:rsidR="00BD007D">
        <w:rPr>
          <w:rFonts w:ascii="Calibri Light" w:eastAsiaTheme="minorEastAsia" w:hAnsi="Calibri Light" w:cs="Calibri Light"/>
          <w:color w:val="auto"/>
          <w:szCs w:val="24"/>
        </w:rPr>
        <w:t xml:space="preserve"> to be </w:t>
      </w:r>
      <w:r w:rsidR="003577E9">
        <w:rPr>
          <w:rFonts w:ascii="Calibri Light" w:eastAsiaTheme="minorEastAsia" w:hAnsi="Calibri Light" w:cs="Calibri Light"/>
          <w:color w:val="auto"/>
          <w:szCs w:val="24"/>
        </w:rPr>
        <w:t>1.5 tons</w:t>
      </w:r>
      <w:r w:rsidR="00F0280D">
        <w:rPr>
          <w:rFonts w:ascii="Calibri Light" w:eastAsiaTheme="minorEastAsia" w:hAnsi="Calibri Light" w:cs="Calibri Light"/>
          <w:color w:val="auto"/>
          <w:szCs w:val="24"/>
        </w:rPr>
        <w:t xml:space="preserve"> based on DEER prototypical documentation</w:t>
      </w:r>
      <w:r w:rsidR="005A5A47">
        <w:rPr>
          <w:rFonts w:ascii="Calibri Light" w:eastAsiaTheme="minorEastAsia" w:hAnsi="Calibri Light" w:cs="Calibri Light"/>
          <w:color w:val="auto"/>
          <w:szCs w:val="24"/>
        </w:rPr>
        <w:t xml:space="preserve"> and market availability for this application</w:t>
      </w:r>
      <w:r w:rsidR="00F9747E">
        <w:rPr>
          <w:rFonts w:ascii="Calibri Light" w:hAnsi="Calibri Light" w:cs="Calibri Light"/>
        </w:rPr>
        <w:t xml:space="preserve">. </w:t>
      </w:r>
      <w:r>
        <w:rPr>
          <w:rFonts w:ascii="Calibri Light" w:hAnsi="Calibri Light" w:cs="Calibri Light"/>
        </w:rPr>
        <w:t xml:space="preserve"> </w:t>
      </w:r>
      <w:r w:rsidR="00001176">
        <w:rPr>
          <w:rFonts w:ascii="Calibri Light" w:hAnsi="Calibri Light" w:cs="Calibri Light"/>
        </w:rPr>
        <w:t>See cost calculations for more details.</w:t>
      </w:r>
      <w:r w:rsidR="00001176">
        <w:rPr>
          <w:rStyle w:val="FootnoteReference"/>
          <w:rFonts w:ascii="Calibri Light" w:hAnsi="Calibri Light" w:cs="Calibri Light"/>
        </w:rPr>
        <w:footnoteReference w:id="20"/>
      </w:r>
    </w:p>
    <w:p w14:paraId="0930F8FA" w14:textId="3776B8F4" w:rsidR="00C3711D" w:rsidRDefault="00C3711D" w:rsidP="00B13E72">
      <w:pPr>
        <w:pStyle w:val="Normal1"/>
        <w:tabs>
          <w:tab w:val="left" w:pos="1695"/>
        </w:tabs>
        <w:jc w:val="both"/>
        <w:rPr>
          <w:rFonts w:ascii="Calibri Light" w:hAnsi="Calibri Light" w:cs="Calibri Light"/>
        </w:rPr>
      </w:pPr>
    </w:p>
    <w:p w14:paraId="3D2581B9" w14:textId="7C15D1F8" w:rsidR="00375BD8" w:rsidRPr="00C6243E" w:rsidRDefault="00375BD8" w:rsidP="00B6417B">
      <w:pPr>
        <w:spacing w:before="0" w:after="160" w:line="259" w:lineRule="auto"/>
        <w:jc w:val="both"/>
        <w:rPr>
          <w:rFonts w:cs="Calibri Light"/>
          <w:b/>
        </w:rPr>
      </w:pPr>
      <w:r>
        <w:rPr>
          <w:rFonts w:cs="Calibri Light"/>
          <w:b/>
        </w:rPr>
        <w:t>Standardized</w:t>
      </w:r>
      <w:r w:rsidRPr="00C6243E">
        <w:rPr>
          <w:rFonts w:cs="Calibri Light"/>
          <w:b/>
        </w:rPr>
        <w:t xml:space="preserve"> Baseline </w:t>
      </w:r>
      <w:r w:rsidR="00F9747E">
        <w:rPr>
          <w:rFonts w:cs="Calibri Light"/>
          <w:b/>
        </w:rPr>
        <w:t xml:space="preserve">Equipment </w:t>
      </w:r>
      <w:r w:rsidRPr="00C6243E">
        <w:rPr>
          <w:rFonts w:cs="Calibri Light"/>
          <w:b/>
        </w:rPr>
        <w:t>Cost</w:t>
      </w: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9"/>
        <w:gridCol w:w="3219"/>
        <w:gridCol w:w="3111"/>
      </w:tblGrid>
      <w:tr w:rsidR="00E3049F" w:rsidRPr="00C6243E" w14:paraId="7642CBE8" w14:textId="0EB394C6" w:rsidTr="00AD642E">
        <w:trPr>
          <w:trHeight w:val="354"/>
        </w:trPr>
        <w:tc>
          <w:tcPr>
            <w:tcW w:w="2999" w:type="dxa"/>
            <w:shd w:val="clear" w:color="auto" w:fill="D9D9D9" w:themeFill="background1" w:themeFillShade="D9"/>
            <w:noWrap/>
            <w:vAlign w:val="center"/>
            <w:hideMark/>
          </w:tcPr>
          <w:p w14:paraId="62EE700B" w14:textId="77777777" w:rsidR="00E3049F" w:rsidRPr="00AF1AC2" w:rsidRDefault="00E3049F" w:rsidP="008828B9">
            <w:pPr>
              <w:rPr>
                <w:rFonts w:eastAsia="Times New Roman" w:cs="Calibri Light"/>
                <w:b/>
                <w:bCs/>
                <w:sz w:val="20"/>
                <w:szCs w:val="20"/>
              </w:rPr>
            </w:pPr>
            <w:r w:rsidRPr="00AF1AC2">
              <w:rPr>
                <w:rFonts w:eastAsia="Times New Roman" w:cs="Calibri Light"/>
                <w:b/>
                <w:bCs/>
                <w:sz w:val="20"/>
                <w:szCs w:val="20"/>
              </w:rPr>
              <w:t>Technology</w:t>
            </w:r>
          </w:p>
        </w:tc>
        <w:tc>
          <w:tcPr>
            <w:tcW w:w="3219" w:type="dxa"/>
            <w:shd w:val="clear" w:color="auto" w:fill="D9D9D9" w:themeFill="background1" w:themeFillShade="D9"/>
            <w:vAlign w:val="center"/>
            <w:hideMark/>
          </w:tcPr>
          <w:p w14:paraId="704D4E07" w14:textId="34116AD5" w:rsidR="00E3049F" w:rsidRPr="00AF1AC2" w:rsidRDefault="00E3049F" w:rsidP="008828B9">
            <w:pPr>
              <w:jc w:val="center"/>
              <w:rPr>
                <w:rFonts w:eastAsia="Times New Roman" w:cs="Calibri Light"/>
                <w:b/>
                <w:bCs/>
                <w:sz w:val="20"/>
                <w:szCs w:val="20"/>
              </w:rPr>
            </w:pPr>
            <w:r>
              <w:rPr>
                <w:rFonts w:eastAsia="Times New Roman" w:cs="Calibri Light"/>
                <w:b/>
                <w:bCs/>
                <w:sz w:val="20"/>
                <w:szCs w:val="20"/>
              </w:rPr>
              <w:t>Normalized Cost</w:t>
            </w:r>
            <w:r w:rsidR="00DC4C84">
              <w:rPr>
                <w:rFonts w:eastAsia="Times New Roman" w:cs="Calibri Light"/>
                <w:b/>
                <w:bCs/>
                <w:sz w:val="20"/>
                <w:szCs w:val="20"/>
              </w:rPr>
              <w:t xml:space="preserve"> per Ton</w:t>
            </w:r>
          </w:p>
        </w:tc>
        <w:tc>
          <w:tcPr>
            <w:tcW w:w="3111" w:type="dxa"/>
            <w:shd w:val="clear" w:color="auto" w:fill="D9D9D9" w:themeFill="background1" w:themeFillShade="D9"/>
          </w:tcPr>
          <w:p w14:paraId="60B7624B" w14:textId="77777777" w:rsidR="00E3049F" w:rsidRPr="00AF1AC2" w:rsidRDefault="00E3049F" w:rsidP="008828B9">
            <w:pPr>
              <w:jc w:val="center"/>
              <w:rPr>
                <w:rFonts w:eastAsia="Times New Roman" w:cs="Calibri Light"/>
                <w:b/>
                <w:bCs/>
                <w:sz w:val="20"/>
                <w:szCs w:val="20"/>
              </w:rPr>
            </w:pPr>
            <w:r>
              <w:rPr>
                <w:rFonts w:eastAsia="Times New Roman" w:cs="Calibri Light"/>
                <w:b/>
                <w:bCs/>
                <w:sz w:val="20"/>
                <w:szCs w:val="20"/>
              </w:rPr>
              <w:t>Sample Count</w:t>
            </w:r>
          </w:p>
        </w:tc>
      </w:tr>
      <w:tr w:rsidR="00E3049F" w:rsidRPr="00C6243E" w14:paraId="04B6C9A2" w14:textId="4EA1C12B" w:rsidTr="00AD642E">
        <w:trPr>
          <w:trHeight w:val="262"/>
        </w:trPr>
        <w:tc>
          <w:tcPr>
            <w:tcW w:w="2999" w:type="dxa"/>
            <w:shd w:val="clear" w:color="auto" w:fill="auto"/>
            <w:vAlign w:val="center"/>
          </w:tcPr>
          <w:p w14:paraId="7B957C5D" w14:textId="1F9B9CFB" w:rsidR="00E3049F" w:rsidRPr="00C6243E" w:rsidRDefault="00E3049F" w:rsidP="008828B9">
            <w:pPr>
              <w:rPr>
                <w:rFonts w:eastAsia="Times New Roman" w:cs="Calibri Light"/>
                <w:sz w:val="20"/>
                <w:szCs w:val="20"/>
              </w:rPr>
            </w:pPr>
            <w:r>
              <w:rPr>
                <w:rFonts w:eastAsia="Times New Roman" w:cs="Calibri Light"/>
                <w:sz w:val="20"/>
                <w:szCs w:val="20"/>
              </w:rPr>
              <w:t>Natural Gas Wall Furnace</w:t>
            </w:r>
          </w:p>
        </w:tc>
        <w:tc>
          <w:tcPr>
            <w:tcW w:w="3219" w:type="dxa"/>
            <w:shd w:val="clear" w:color="auto" w:fill="auto"/>
            <w:noWrap/>
            <w:vAlign w:val="bottom"/>
          </w:tcPr>
          <w:p w14:paraId="30D0EA02" w14:textId="63EFA3AB" w:rsidR="00E3049F" w:rsidRPr="00AF1AC2" w:rsidRDefault="00E3049F" w:rsidP="008828B9">
            <w:pPr>
              <w:jc w:val="center"/>
              <w:rPr>
                <w:rFonts w:eastAsia="Times New Roman" w:cs="Calibri Light"/>
                <w:sz w:val="20"/>
                <w:szCs w:val="20"/>
              </w:rPr>
            </w:pPr>
            <w:r>
              <w:rPr>
                <w:rFonts w:eastAsia="Times New Roman" w:cs="Calibri Light"/>
                <w:sz w:val="20"/>
                <w:szCs w:val="20"/>
              </w:rPr>
              <w:t>$676.90</w:t>
            </w:r>
          </w:p>
        </w:tc>
        <w:tc>
          <w:tcPr>
            <w:tcW w:w="3111" w:type="dxa"/>
          </w:tcPr>
          <w:p w14:paraId="59AE09B2" w14:textId="188CC653" w:rsidR="00E3049F" w:rsidRDefault="00E3049F" w:rsidP="008828B9">
            <w:pPr>
              <w:jc w:val="center"/>
              <w:rPr>
                <w:rFonts w:eastAsia="Times New Roman" w:cs="Calibri Light"/>
                <w:sz w:val="20"/>
                <w:szCs w:val="20"/>
              </w:rPr>
            </w:pPr>
            <w:r>
              <w:rPr>
                <w:rFonts w:eastAsia="Times New Roman" w:cs="Calibri Light"/>
                <w:sz w:val="20"/>
                <w:szCs w:val="20"/>
              </w:rPr>
              <w:t>14</w:t>
            </w:r>
          </w:p>
        </w:tc>
      </w:tr>
      <w:tr w:rsidR="00E3049F" w:rsidRPr="00C6243E" w14:paraId="4FDCA4B7" w14:textId="7727985F" w:rsidTr="00AD642E">
        <w:trPr>
          <w:trHeight w:val="206"/>
        </w:trPr>
        <w:tc>
          <w:tcPr>
            <w:tcW w:w="2999" w:type="dxa"/>
            <w:shd w:val="clear" w:color="auto" w:fill="auto"/>
            <w:vAlign w:val="center"/>
          </w:tcPr>
          <w:p w14:paraId="47785DC5" w14:textId="30F9493E" w:rsidR="00E3049F" w:rsidRDefault="00E3049F" w:rsidP="008828B9">
            <w:pPr>
              <w:rPr>
                <w:rFonts w:eastAsia="Times New Roman" w:cs="Calibri Light"/>
                <w:sz w:val="20"/>
                <w:szCs w:val="20"/>
              </w:rPr>
            </w:pPr>
            <w:r>
              <w:rPr>
                <w:rFonts w:eastAsia="Times New Roman" w:cs="Calibri Light"/>
                <w:sz w:val="20"/>
                <w:szCs w:val="20"/>
              </w:rPr>
              <w:t>Electric Window AC</w:t>
            </w:r>
          </w:p>
        </w:tc>
        <w:tc>
          <w:tcPr>
            <w:tcW w:w="3219" w:type="dxa"/>
            <w:shd w:val="clear" w:color="auto" w:fill="auto"/>
            <w:noWrap/>
            <w:vAlign w:val="bottom"/>
          </w:tcPr>
          <w:p w14:paraId="6FB22854" w14:textId="554C5620" w:rsidR="00E3049F" w:rsidRDefault="00E3049F" w:rsidP="008828B9">
            <w:pPr>
              <w:jc w:val="center"/>
              <w:rPr>
                <w:rFonts w:eastAsia="Times New Roman" w:cs="Calibri Light"/>
                <w:sz w:val="20"/>
                <w:szCs w:val="20"/>
              </w:rPr>
            </w:pPr>
            <w:r>
              <w:rPr>
                <w:rFonts w:eastAsia="Times New Roman" w:cs="Calibri Light"/>
                <w:sz w:val="20"/>
                <w:szCs w:val="20"/>
              </w:rPr>
              <w:t>$405.93</w:t>
            </w:r>
          </w:p>
        </w:tc>
        <w:tc>
          <w:tcPr>
            <w:tcW w:w="3111" w:type="dxa"/>
          </w:tcPr>
          <w:p w14:paraId="20C20F96" w14:textId="4E5E3E85" w:rsidR="00E3049F" w:rsidRDefault="00E3049F" w:rsidP="008828B9">
            <w:pPr>
              <w:jc w:val="center"/>
              <w:rPr>
                <w:rFonts w:eastAsia="Times New Roman" w:cs="Calibri Light"/>
                <w:sz w:val="20"/>
                <w:szCs w:val="20"/>
              </w:rPr>
            </w:pPr>
            <w:r>
              <w:rPr>
                <w:rFonts w:eastAsia="Times New Roman" w:cs="Calibri Light"/>
                <w:sz w:val="20"/>
                <w:szCs w:val="20"/>
              </w:rPr>
              <w:t>11</w:t>
            </w:r>
          </w:p>
        </w:tc>
      </w:tr>
    </w:tbl>
    <w:p w14:paraId="66CA870B" w14:textId="77777777" w:rsidR="00F9747E" w:rsidRPr="00C6243E" w:rsidRDefault="00F9747E" w:rsidP="00B13E72">
      <w:pPr>
        <w:jc w:val="both"/>
        <w:rPr>
          <w:rFonts w:cs="Calibri Light"/>
        </w:rPr>
      </w:pPr>
    </w:p>
    <w:p w14:paraId="29EABB6D" w14:textId="77777777" w:rsidR="00375BD8" w:rsidRPr="00C6243E" w:rsidRDefault="00375BD8" w:rsidP="00B13E72">
      <w:pPr>
        <w:pStyle w:val="eTRMHeading3"/>
        <w:jc w:val="both"/>
        <w:rPr>
          <w:rFonts w:cs="Calibri Light"/>
        </w:rPr>
      </w:pPr>
      <w:bookmarkStart w:id="56" w:name="_Toc486490861"/>
      <w:bookmarkStart w:id="57" w:name="_Toc486580932"/>
      <w:bookmarkStart w:id="58" w:name="_Toc64561070"/>
      <w:bookmarkStart w:id="59" w:name="_Hlk52525789"/>
      <w:bookmarkEnd w:id="55"/>
      <w:r w:rsidRPr="00837241">
        <w:rPr>
          <w:rFonts w:cs="Calibri Light"/>
        </w:rPr>
        <w:t>Measure Case Material Cost ($/unit)</w:t>
      </w:r>
      <w:bookmarkEnd w:id="56"/>
      <w:bookmarkEnd w:id="57"/>
      <w:bookmarkEnd w:id="58"/>
    </w:p>
    <w:p w14:paraId="77124EFC" w14:textId="347625C5" w:rsidR="00B46114" w:rsidRDefault="00B46114" w:rsidP="005335B3">
      <w:pPr>
        <w:pStyle w:val="Normal1"/>
        <w:jc w:val="both"/>
        <w:rPr>
          <w:rFonts w:ascii="Calibri Light" w:hAnsi="Calibri Light" w:cs="Calibri Light"/>
        </w:rPr>
      </w:pPr>
      <w:bookmarkStart w:id="60" w:name="_Toc486490862"/>
      <w:bookmarkStart w:id="61" w:name="_Toc486580933"/>
      <w:r>
        <w:rPr>
          <w:rFonts w:ascii="Calibri Light" w:hAnsi="Calibri Light" w:cs="Calibri Light"/>
        </w:rPr>
        <w:t>Measure case costs are broken down into three components: material, labor, and infrastructure cost (associated with fuel substitution). Both the HVAC equipment and the installation process include material cost components.</w:t>
      </w:r>
    </w:p>
    <w:p w14:paraId="367963FB" w14:textId="77777777" w:rsidR="00B46114" w:rsidRDefault="00B46114" w:rsidP="005335B3">
      <w:pPr>
        <w:pStyle w:val="Normal1"/>
        <w:jc w:val="both"/>
        <w:rPr>
          <w:rFonts w:ascii="Calibri Light" w:hAnsi="Calibri Light" w:cs="Calibri Light"/>
        </w:rPr>
      </w:pPr>
    </w:p>
    <w:p w14:paraId="7D3BCD7F" w14:textId="146D0C31" w:rsidR="00747BE4" w:rsidRDefault="00747BE4" w:rsidP="005335B3">
      <w:pPr>
        <w:pStyle w:val="Normal1"/>
        <w:jc w:val="both"/>
        <w:rPr>
          <w:rFonts w:ascii="Calibri Light" w:eastAsiaTheme="minorEastAsia" w:hAnsi="Calibri Light" w:cs="Calibri Light"/>
          <w:color w:val="auto"/>
          <w:szCs w:val="24"/>
        </w:rPr>
      </w:pPr>
      <w:r>
        <w:rPr>
          <w:rFonts w:ascii="Calibri Light" w:hAnsi="Calibri Light" w:cs="Calibri Light"/>
        </w:rPr>
        <w:t>Measure equipment material costing was obtained through online price research from various retailer websites in the fourth quarter of 2019.</w:t>
      </w:r>
      <w:r w:rsidR="00712FFE">
        <w:rPr>
          <w:rFonts w:ascii="Calibri Light" w:hAnsi="Calibri Light" w:cs="Calibri Light"/>
        </w:rPr>
        <w:t xml:space="preserve"> Measure case equipment costing was</w:t>
      </w:r>
      <w:r w:rsidR="008F4D29">
        <w:rPr>
          <w:rFonts w:ascii="Calibri Light" w:hAnsi="Calibri Light" w:cs="Calibri Light"/>
        </w:rPr>
        <w:t xml:space="preserve"> selected based on </w:t>
      </w:r>
      <w:r>
        <w:rPr>
          <w:rFonts w:ascii="Calibri Light" w:hAnsi="Calibri Light" w:cs="Calibri Light"/>
        </w:rPr>
        <w:t>the capacity and efficiency of the equipment to align it with the measure requirements and DEER prototype total capacities</w:t>
      </w:r>
      <w:r w:rsidR="005335B3">
        <w:rPr>
          <w:rFonts w:ascii="Calibri Light" w:eastAsiaTheme="minorEastAsia" w:hAnsi="Calibri Light" w:cs="Calibri Light"/>
          <w:color w:val="auto"/>
          <w:szCs w:val="24"/>
        </w:rPr>
        <w:t xml:space="preserve"> </w:t>
      </w:r>
      <w:r>
        <w:rPr>
          <w:rFonts w:ascii="Calibri Light" w:eastAsiaTheme="minorEastAsia" w:hAnsi="Calibri Light" w:cs="Calibri Light"/>
          <w:color w:val="auto"/>
          <w:szCs w:val="24"/>
        </w:rPr>
        <w:t xml:space="preserve">as described in the previous section. Costs for the split systems were observed to vary based on the number of indoor units included. To be consistent with the assumption of the number of </w:t>
      </w:r>
      <w:r w:rsidR="00BD007D">
        <w:rPr>
          <w:rFonts w:ascii="Calibri Light" w:eastAsiaTheme="minorEastAsia" w:hAnsi="Calibri Light" w:cs="Calibri Light"/>
          <w:color w:val="auto"/>
          <w:szCs w:val="24"/>
        </w:rPr>
        <w:t xml:space="preserve">HVAC </w:t>
      </w:r>
      <w:r>
        <w:rPr>
          <w:rFonts w:ascii="Calibri Light" w:eastAsiaTheme="minorEastAsia" w:hAnsi="Calibri Light" w:cs="Calibri Light"/>
          <w:color w:val="auto"/>
          <w:szCs w:val="24"/>
        </w:rPr>
        <w:t xml:space="preserve">units with the base case systems, only mini-splits with one or two indoor units were included. </w:t>
      </w:r>
    </w:p>
    <w:bookmarkEnd w:id="59"/>
    <w:p w14:paraId="22794C87" w14:textId="77777777" w:rsidR="00747BE4" w:rsidRDefault="00747BE4" w:rsidP="005335B3">
      <w:pPr>
        <w:pStyle w:val="Normal1"/>
        <w:jc w:val="both"/>
        <w:rPr>
          <w:rFonts w:ascii="Calibri Light" w:eastAsiaTheme="minorEastAsia" w:hAnsi="Calibri Light" w:cs="Calibri Light"/>
          <w:color w:val="auto"/>
          <w:szCs w:val="24"/>
        </w:rPr>
      </w:pPr>
    </w:p>
    <w:p w14:paraId="0B8CE707" w14:textId="50B0840D" w:rsidR="005335B3" w:rsidRDefault="005335B3" w:rsidP="005335B3">
      <w:pPr>
        <w:pStyle w:val="Normal1"/>
        <w:jc w:val="both"/>
        <w:rPr>
          <w:rFonts w:ascii="Calibri Light" w:eastAsiaTheme="minorEastAsia" w:hAnsi="Calibri Light" w:cs="Calibri Light"/>
          <w:color w:val="auto"/>
          <w:szCs w:val="24"/>
        </w:rPr>
      </w:pPr>
      <w:r>
        <w:rPr>
          <w:rFonts w:ascii="Calibri Light" w:eastAsiaTheme="minorEastAsia" w:hAnsi="Calibri Light" w:cs="Calibri Light"/>
          <w:color w:val="auto"/>
          <w:szCs w:val="24"/>
        </w:rPr>
        <w:t xml:space="preserve">The cost of the mini-split heat pumps </w:t>
      </w:r>
      <w:r w:rsidR="00747BE4">
        <w:rPr>
          <w:rFonts w:ascii="Calibri Light" w:eastAsiaTheme="minorEastAsia" w:hAnsi="Calibri Light" w:cs="Calibri Light"/>
          <w:color w:val="auto"/>
          <w:szCs w:val="24"/>
        </w:rPr>
        <w:t>varied</w:t>
      </w:r>
      <w:r>
        <w:rPr>
          <w:rFonts w:ascii="Calibri Light" w:eastAsiaTheme="minorEastAsia" w:hAnsi="Calibri Light" w:cs="Calibri Light"/>
          <w:color w:val="auto"/>
          <w:szCs w:val="24"/>
        </w:rPr>
        <w:t xml:space="preserve"> </w:t>
      </w:r>
      <w:r w:rsidR="00747BE4">
        <w:rPr>
          <w:rFonts w:ascii="Calibri Light" w:eastAsiaTheme="minorEastAsia" w:hAnsi="Calibri Light" w:cs="Calibri Light"/>
          <w:color w:val="auto"/>
          <w:szCs w:val="24"/>
        </w:rPr>
        <w:t>based</w:t>
      </w:r>
      <w:r>
        <w:rPr>
          <w:rFonts w:ascii="Calibri Light" w:eastAsiaTheme="minorEastAsia" w:hAnsi="Calibri Light" w:cs="Calibri Light"/>
          <w:color w:val="auto"/>
          <w:szCs w:val="24"/>
        </w:rPr>
        <w:t xml:space="preserve"> on SEER and were normalized on a per ton basis.</w:t>
      </w:r>
      <w:r w:rsidR="00747BE4">
        <w:rPr>
          <w:rFonts w:ascii="Calibri Light" w:eastAsiaTheme="minorEastAsia" w:hAnsi="Calibri Light" w:cs="Calibri Light"/>
          <w:color w:val="auto"/>
          <w:szCs w:val="24"/>
        </w:rPr>
        <w:t xml:space="preserve"> </w:t>
      </w:r>
      <w:r w:rsidR="00001176">
        <w:rPr>
          <w:rFonts w:ascii="Calibri Light" w:hAnsi="Calibri Light" w:cs="Calibri Light"/>
        </w:rPr>
        <w:t>See cost calculations for more details.</w:t>
      </w:r>
      <w:r w:rsidR="00001176">
        <w:rPr>
          <w:rStyle w:val="FootnoteReference"/>
          <w:rFonts w:ascii="Calibri Light" w:hAnsi="Calibri Light" w:cs="Calibri Light"/>
        </w:rPr>
        <w:footnoteReference w:id="21"/>
      </w:r>
    </w:p>
    <w:p w14:paraId="1792EEFC" w14:textId="40441309" w:rsidR="008C6C49" w:rsidRDefault="008C6C49">
      <w:pPr>
        <w:spacing w:before="0" w:after="160" w:line="259" w:lineRule="auto"/>
        <w:rPr>
          <w:rFonts w:cs="Calibri Light"/>
          <w:b/>
        </w:rPr>
      </w:pPr>
    </w:p>
    <w:p w14:paraId="7FB8FEC9" w14:textId="0B7EB92F" w:rsidR="00375BD8" w:rsidRPr="00AF1AC2" w:rsidRDefault="00375BD8" w:rsidP="00B13E72">
      <w:pPr>
        <w:pStyle w:val="Normal1"/>
        <w:jc w:val="both"/>
        <w:rPr>
          <w:rFonts w:ascii="Calibri Light" w:eastAsiaTheme="minorEastAsia" w:hAnsi="Calibri Light" w:cs="Calibri Light"/>
          <w:b/>
          <w:color w:val="auto"/>
          <w:szCs w:val="24"/>
        </w:rPr>
      </w:pPr>
      <w:r>
        <w:rPr>
          <w:rFonts w:ascii="Calibri Light" w:eastAsiaTheme="minorEastAsia" w:hAnsi="Calibri Light" w:cs="Calibri Light"/>
          <w:b/>
          <w:color w:val="auto"/>
          <w:szCs w:val="24"/>
        </w:rPr>
        <w:lastRenderedPageBreak/>
        <w:t>Standardized Measure Cost</w:t>
      </w:r>
    </w:p>
    <w:tbl>
      <w:tblPr>
        <w:tblW w:w="48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6"/>
        <w:gridCol w:w="4332"/>
        <w:gridCol w:w="1813"/>
      </w:tblGrid>
      <w:tr w:rsidR="00391C5F" w:rsidRPr="00AF1AC2" w14:paraId="6886FE70" w14:textId="6BCB6300" w:rsidTr="00E00D76">
        <w:trPr>
          <w:trHeight w:val="437"/>
        </w:trPr>
        <w:tc>
          <w:tcPr>
            <w:tcW w:w="2926" w:type="dxa"/>
            <w:shd w:val="clear" w:color="auto" w:fill="D9D9D9" w:themeFill="background1" w:themeFillShade="D9"/>
            <w:noWrap/>
            <w:vAlign w:val="center"/>
            <w:hideMark/>
          </w:tcPr>
          <w:p w14:paraId="77135B08" w14:textId="77777777" w:rsidR="00391C5F" w:rsidRPr="00AF1AC2" w:rsidRDefault="00391C5F" w:rsidP="008828B9">
            <w:pPr>
              <w:rPr>
                <w:rFonts w:eastAsia="Times New Roman" w:cs="Calibri Light"/>
                <w:b/>
                <w:bCs/>
                <w:sz w:val="20"/>
                <w:szCs w:val="20"/>
              </w:rPr>
            </w:pPr>
            <w:r w:rsidRPr="00AF1AC2">
              <w:rPr>
                <w:rFonts w:eastAsia="Times New Roman" w:cs="Calibri Light"/>
                <w:b/>
                <w:bCs/>
                <w:sz w:val="20"/>
                <w:szCs w:val="20"/>
              </w:rPr>
              <w:t>Technology</w:t>
            </w:r>
          </w:p>
        </w:tc>
        <w:tc>
          <w:tcPr>
            <w:tcW w:w="4333" w:type="dxa"/>
            <w:shd w:val="clear" w:color="auto" w:fill="D9D9D9" w:themeFill="background1" w:themeFillShade="D9"/>
          </w:tcPr>
          <w:p w14:paraId="45351BD2" w14:textId="25F7F638" w:rsidR="00391C5F" w:rsidRDefault="00391C5F" w:rsidP="008828B9">
            <w:pPr>
              <w:jc w:val="center"/>
              <w:rPr>
                <w:rFonts w:eastAsia="Times New Roman" w:cs="Calibri Light"/>
                <w:b/>
                <w:bCs/>
                <w:sz w:val="20"/>
                <w:szCs w:val="20"/>
              </w:rPr>
            </w:pPr>
            <w:r>
              <w:rPr>
                <w:rFonts w:eastAsia="Times New Roman" w:cs="Calibri Light"/>
                <w:b/>
                <w:bCs/>
                <w:sz w:val="20"/>
                <w:szCs w:val="20"/>
              </w:rPr>
              <w:t>Tier</w:t>
            </w:r>
          </w:p>
        </w:tc>
        <w:tc>
          <w:tcPr>
            <w:tcW w:w="1813" w:type="dxa"/>
            <w:shd w:val="clear" w:color="auto" w:fill="D9D9D9" w:themeFill="background1" w:themeFillShade="D9"/>
            <w:vAlign w:val="center"/>
            <w:hideMark/>
          </w:tcPr>
          <w:p w14:paraId="3C9835F9" w14:textId="3BCC67B4" w:rsidR="00391C5F" w:rsidRPr="00AF1AC2" w:rsidRDefault="00391C5F" w:rsidP="008828B9">
            <w:pPr>
              <w:jc w:val="center"/>
              <w:rPr>
                <w:rFonts w:eastAsia="Times New Roman" w:cs="Calibri Light"/>
                <w:b/>
                <w:bCs/>
                <w:sz w:val="20"/>
                <w:szCs w:val="20"/>
              </w:rPr>
            </w:pPr>
            <w:r>
              <w:rPr>
                <w:rFonts w:eastAsia="Times New Roman" w:cs="Calibri Light"/>
                <w:b/>
                <w:bCs/>
                <w:sz w:val="20"/>
                <w:szCs w:val="20"/>
              </w:rPr>
              <w:t>Normalized Cost per Ton</w:t>
            </w:r>
          </w:p>
        </w:tc>
      </w:tr>
      <w:tr w:rsidR="00391C5F" w:rsidRPr="00AF1AC2" w14:paraId="5A38E6DD" w14:textId="7FC14F3E" w:rsidTr="00E00D76">
        <w:trPr>
          <w:trHeight w:val="257"/>
        </w:trPr>
        <w:tc>
          <w:tcPr>
            <w:tcW w:w="2926" w:type="dxa"/>
            <w:shd w:val="clear" w:color="auto" w:fill="auto"/>
            <w:vAlign w:val="center"/>
          </w:tcPr>
          <w:p w14:paraId="1DDC0F31" w14:textId="11FB64D4" w:rsidR="00391C5F" w:rsidRPr="00E51366" w:rsidRDefault="00391C5F" w:rsidP="000A507B">
            <w:pPr>
              <w:rPr>
                <w:rFonts w:eastAsia="Times New Roman" w:cs="Calibri Light"/>
                <w:sz w:val="18"/>
                <w:szCs w:val="18"/>
              </w:rPr>
            </w:pPr>
            <w:r w:rsidRPr="00E51366">
              <w:rPr>
                <w:rFonts w:eastAsia="Times New Roman" w:cs="Calibri Light"/>
                <w:sz w:val="18"/>
                <w:szCs w:val="18"/>
              </w:rPr>
              <w:t>Mini-Split Heat Pump (MSHP)</w:t>
            </w:r>
          </w:p>
        </w:tc>
        <w:tc>
          <w:tcPr>
            <w:tcW w:w="4333" w:type="dxa"/>
          </w:tcPr>
          <w:p w14:paraId="3CFED76C" w14:textId="0E9B1C0F" w:rsidR="00391C5F" w:rsidRPr="00E51366" w:rsidRDefault="00391C5F" w:rsidP="000A507B">
            <w:pPr>
              <w:rPr>
                <w:rFonts w:eastAsia="Times New Roman" w:cs="Calibri Light"/>
                <w:sz w:val="18"/>
                <w:szCs w:val="18"/>
              </w:rPr>
            </w:pPr>
            <w:r w:rsidRPr="00E51366">
              <w:rPr>
                <w:rFonts w:eastAsia="Times New Roman" w:cs="Calibri Light"/>
                <w:b/>
                <w:sz w:val="18"/>
                <w:szCs w:val="18"/>
              </w:rPr>
              <w:t>Tier 1</w:t>
            </w:r>
            <w:r w:rsidRPr="00E51366">
              <w:rPr>
                <w:rFonts w:eastAsia="Times New Roman" w:cs="Calibri Light"/>
                <w:sz w:val="18"/>
                <w:szCs w:val="18"/>
              </w:rPr>
              <w:t xml:space="preserve">: </w:t>
            </w:r>
            <w:r w:rsidRPr="0088419A">
              <w:rPr>
                <w:rFonts w:eastAsia="Times New Roman" w:cs="Calibri Light"/>
                <w:sz w:val="18"/>
                <w:szCs w:val="18"/>
              </w:rPr>
              <w:t>Ductless Mini-Split Heat Pump (SEER 15</w:t>
            </w:r>
            <w:r w:rsidRPr="00B10B3A">
              <w:rPr>
                <w:rFonts w:eastAsia="Times New Roman" w:cs="Calibri Light"/>
                <w:sz w:val="18"/>
                <w:szCs w:val="18"/>
              </w:rPr>
              <w:t>, HSPF 8.</w:t>
            </w:r>
            <w:r w:rsidR="009772AA" w:rsidRPr="00E00D76">
              <w:rPr>
                <w:rFonts w:eastAsia="Times New Roman" w:cs="Calibri Light"/>
                <w:sz w:val="18"/>
                <w:szCs w:val="18"/>
              </w:rPr>
              <w:t>7</w:t>
            </w:r>
            <w:r w:rsidRPr="00B10B3A">
              <w:rPr>
                <w:rFonts w:eastAsia="Times New Roman" w:cs="Calibri Light"/>
                <w:sz w:val="18"/>
                <w:szCs w:val="18"/>
              </w:rPr>
              <w:t>)</w:t>
            </w:r>
          </w:p>
        </w:tc>
        <w:tc>
          <w:tcPr>
            <w:tcW w:w="1813" w:type="dxa"/>
            <w:shd w:val="clear" w:color="auto" w:fill="auto"/>
            <w:noWrap/>
          </w:tcPr>
          <w:p w14:paraId="1E3F91FC" w14:textId="146920C7" w:rsidR="00391C5F" w:rsidRPr="00E51366" w:rsidRDefault="00391C5F" w:rsidP="000A507B">
            <w:pPr>
              <w:jc w:val="center"/>
              <w:rPr>
                <w:rFonts w:eastAsia="Times New Roman" w:cs="Calibri Light"/>
                <w:sz w:val="18"/>
                <w:szCs w:val="18"/>
              </w:rPr>
            </w:pPr>
            <w:r w:rsidRPr="00E51366">
              <w:rPr>
                <w:rFonts w:eastAsia="Times New Roman" w:cs="Calibri Light"/>
                <w:sz w:val="18"/>
                <w:szCs w:val="18"/>
              </w:rPr>
              <w:t>$1,016.23</w:t>
            </w:r>
          </w:p>
        </w:tc>
      </w:tr>
      <w:tr w:rsidR="00391C5F" w:rsidRPr="00AF1AC2" w14:paraId="4F75A513" w14:textId="3A6E4243" w:rsidTr="00E00D76">
        <w:trPr>
          <w:trHeight w:val="257"/>
        </w:trPr>
        <w:tc>
          <w:tcPr>
            <w:tcW w:w="2926" w:type="dxa"/>
            <w:shd w:val="clear" w:color="auto" w:fill="auto"/>
            <w:vAlign w:val="center"/>
          </w:tcPr>
          <w:p w14:paraId="589C0689" w14:textId="6D1EDD79" w:rsidR="00391C5F" w:rsidRPr="00E51366" w:rsidRDefault="00391C5F" w:rsidP="000A507B">
            <w:pPr>
              <w:rPr>
                <w:rFonts w:eastAsia="Times New Roman" w:cs="Calibri Light"/>
                <w:sz w:val="18"/>
                <w:szCs w:val="18"/>
              </w:rPr>
            </w:pPr>
            <w:r w:rsidRPr="00E51366">
              <w:rPr>
                <w:rFonts w:eastAsia="Times New Roman" w:cs="Calibri Light"/>
                <w:sz w:val="18"/>
                <w:szCs w:val="18"/>
              </w:rPr>
              <w:t>Mini-Split Heat Pump (MSHP)</w:t>
            </w:r>
          </w:p>
        </w:tc>
        <w:tc>
          <w:tcPr>
            <w:tcW w:w="4333" w:type="dxa"/>
          </w:tcPr>
          <w:p w14:paraId="74B393E0" w14:textId="6F90327B" w:rsidR="00391C5F" w:rsidRPr="00E51366" w:rsidRDefault="00391C5F" w:rsidP="000A507B">
            <w:pPr>
              <w:rPr>
                <w:rFonts w:eastAsia="Times New Roman" w:cs="Calibri Light"/>
                <w:b/>
                <w:sz w:val="18"/>
                <w:szCs w:val="18"/>
              </w:rPr>
            </w:pPr>
            <w:r w:rsidRPr="00E51366">
              <w:rPr>
                <w:rFonts w:eastAsia="Times New Roman" w:cs="Calibri Light"/>
                <w:b/>
                <w:sz w:val="18"/>
                <w:szCs w:val="18"/>
              </w:rPr>
              <w:t>Tier 2</w:t>
            </w:r>
            <w:r w:rsidRPr="00E51366">
              <w:rPr>
                <w:rFonts w:eastAsia="Times New Roman" w:cs="Calibri Light"/>
                <w:sz w:val="18"/>
                <w:szCs w:val="18"/>
              </w:rPr>
              <w:t xml:space="preserve">: </w:t>
            </w:r>
            <w:r w:rsidRPr="0088419A">
              <w:rPr>
                <w:rFonts w:eastAsia="Times New Roman" w:cs="Calibri Light"/>
                <w:sz w:val="18"/>
                <w:szCs w:val="18"/>
              </w:rPr>
              <w:t xml:space="preserve">Ductless Mini-Split Heat Pump (SEER 16, HSPF </w:t>
            </w:r>
            <w:r w:rsidR="009772AA">
              <w:rPr>
                <w:rFonts w:eastAsia="Times New Roman" w:cs="Calibri Light"/>
                <w:sz w:val="18"/>
                <w:szCs w:val="18"/>
              </w:rPr>
              <w:t>9.0</w:t>
            </w:r>
            <w:r w:rsidRPr="0088419A">
              <w:rPr>
                <w:rFonts w:eastAsia="Times New Roman" w:cs="Calibri Light"/>
                <w:sz w:val="18"/>
                <w:szCs w:val="18"/>
              </w:rPr>
              <w:t>)</w:t>
            </w:r>
          </w:p>
        </w:tc>
        <w:tc>
          <w:tcPr>
            <w:tcW w:w="1813" w:type="dxa"/>
            <w:shd w:val="clear" w:color="auto" w:fill="auto"/>
            <w:noWrap/>
          </w:tcPr>
          <w:p w14:paraId="283CFDF9" w14:textId="39C5BE97" w:rsidR="00391C5F" w:rsidRPr="00E51366" w:rsidRDefault="00391C5F" w:rsidP="000A507B">
            <w:pPr>
              <w:jc w:val="center"/>
              <w:rPr>
                <w:rFonts w:eastAsia="Times New Roman" w:cs="Calibri Light"/>
                <w:sz w:val="18"/>
                <w:szCs w:val="18"/>
              </w:rPr>
            </w:pPr>
            <w:r w:rsidRPr="00E51366">
              <w:rPr>
                <w:rFonts w:eastAsia="Times New Roman" w:cs="Calibri Light"/>
                <w:sz w:val="18"/>
                <w:szCs w:val="18"/>
              </w:rPr>
              <w:t>$1,021.79</w:t>
            </w:r>
          </w:p>
        </w:tc>
      </w:tr>
      <w:tr w:rsidR="00391C5F" w:rsidRPr="00AF1AC2" w14:paraId="327CA1CE" w14:textId="5E9F2FD6" w:rsidTr="00E00D76">
        <w:trPr>
          <w:trHeight w:val="257"/>
        </w:trPr>
        <w:tc>
          <w:tcPr>
            <w:tcW w:w="2926" w:type="dxa"/>
            <w:shd w:val="clear" w:color="auto" w:fill="auto"/>
            <w:vAlign w:val="center"/>
          </w:tcPr>
          <w:p w14:paraId="72902118" w14:textId="18CA516A" w:rsidR="00391C5F" w:rsidRPr="00E51366" w:rsidRDefault="00391C5F" w:rsidP="000A507B">
            <w:pPr>
              <w:rPr>
                <w:rFonts w:eastAsia="Times New Roman" w:cs="Calibri Light"/>
                <w:sz w:val="18"/>
                <w:szCs w:val="18"/>
              </w:rPr>
            </w:pPr>
            <w:r w:rsidRPr="00E51366">
              <w:rPr>
                <w:rFonts w:eastAsia="Times New Roman" w:cs="Calibri Light"/>
                <w:sz w:val="18"/>
                <w:szCs w:val="18"/>
              </w:rPr>
              <w:t>Mini-Split Heat Pump (MSHP)</w:t>
            </w:r>
          </w:p>
        </w:tc>
        <w:tc>
          <w:tcPr>
            <w:tcW w:w="4333" w:type="dxa"/>
          </w:tcPr>
          <w:p w14:paraId="3528858F" w14:textId="1B6CC503" w:rsidR="00391C5F" w:rsidRPr="00E51366" w:rsidRDefault="00391C5F" w:rsidP="000A507B">
            <w:pPr>
              <w:rPr>
                <w:rFonts w:eastAsia="Times New Roman" w:cs="Calibri Light"/>
                <w:sz w:val="18"/>
                <w:szCs w:val="18"/>
              </w:rPr>
            </w:pPr>
            <w:r w:rsidRPr="00E51366">
              <w:rPr>
                <w:rFonts w:eastAsia="Times New Roman" w:cs="Calibri Light"/>
                <w:b/>
                <w:sz w:val="18"/>
                <w:szCs w:val="18"/>
              </w:rPr>
              <w:t>Tier 3</w:t>
            </w:r>
            <w:r w:rsidRPr="00E51366">
              <w:rPr>
                <w:rFonts w:eastAsia="Times New Roman" w:cs="Calibri Light"/>
                <w:sz w:val="18"/>
                <w:szCs w:val="18"/>
              </w:rPr>
              <w:t xml:space="preserve">: </w:t>
            </w:r>
            <w:r w:rsidRPr="0088419A">
              <w:rPr>
                <w:rFonts w:eastAsia="Times New Roman" w:cs="Calibri Light"/>
                <w:sz w:val="18"/>
                <w:szCs w:val="18"/>
              </w:rPr>
              <w:t>Ductless Mini-Split Heat Pump (SEER 17, HSPF 9.4)</w:t>
            </w:r>
          </w:p>
        </w:tc>
        <w:tc>
          <w:tcPr>
            <w:tcW w:w="1813" w:type="dxa"/>
            <w:shd w:val="clear" w:color="auto" w:fill="auto"/>
            <w:noWrap/>
          </w:tcPr>
          <w:p w14:paraId="5EEA0C1A" w14:textId="11BD4ACE" w:rsidR="00391C5F" w:rsidRPr="00E51366" w:rsidRDefault="00391C5F" w:rsidP="000A507B">
            <w:pPr>
              <w:jc w:val="center"/>
              <w:rPr>
                <w:rFonts w:eastAsia="Times New Roman" w:cs="Calibri Light"/>
                <w:sz w:val="18"/>
                <w:szCs w:val="18"/>
              </w:rPr>
            </w:pPr>
            <w:r w:rsidRPr="00E51366">
              <w:rPr>
                <w:rFonts w:eastAsia="Times New Roman" w:cs="Calibri Light"/>
                <w:sz w:val="18"/>
                <w:szCs w:val="18"/>
              </w:rPr>
              <w:t>$1,100.88</w:t>
            </w:r>
          </w:p>
        </w:tc>
      </w:tr>
      <w:tr w:rsidR="00391C5F" w:rsidRPr="00AF1AC2" w14:paraId="2056E6AA" w14:textId="0A49E62C" w:rsidTr="00E00D76">
        <w:trPr>
          <w:trHeight w:val="257"/>
        </w:trPr>
        <w:tc>
          <w:tcPr>
            <w:tcW w:w="2926" w:type="dxa"/>
            <w:shd w:val="clear" w:color="auto" w:fill="auto"/>
            <w:vAlign w:val="center"/>
          </w:tcPr>
          <w:p w14:paraId="20A0BEA6" w14:textId="791C6F67" w:rsidR="00391C5F" w:rsidRPr="00E51366" w:rsidRDefault="00391C5F" w:rsidP="000A507B">
            <w:pPr>
              <w:rPr>
                <w:rFonts w:eastAsia="Times New Roman" w:cs="Calibri Light"/>
                <w:sz w:val="18"/>
                <w:szCs w:val="18"/>
              </w:rPr>
            </w:pPr>
            <w:r w:rsidRPr="00E51366">
              <w:rPr>
                <w:rFonts w:eastAsia="Times New Roman" w:cs="Calibri Light"/>
                <w:sz w:val="18"/>
                <w:szCs w:val="18"/>
              </w:rPr>
              <w:t>Mini-Split Heat Pump (MSHP)</w:t>
            </w:r>
          </w:p>
        </w:tc>
        <w:tc>
          <w:tcPr>
            <w:tcW w:w="4333" w:type="dxa"/>
          </w:tcPr>
          <w:p w14:paraId="6DF3DD05" w14:textId="09ED7A05" w:rsidR="00391C5F" w:rsidRPr="00E51366" w:rsidRDefault="00391C5F" w:rsidP="000A507B">
            <w:pPr>
              <w:rPr>
                <w:rFonts w:eastAsia="Times New Roman" w:cs="Calibri Light"/>
                <w:b/>
                <w:sz w:val="18"/>
                <w:szCs w:val="18"/>
              </w:rPr>
            </w:pPr>
            <w:r w:rsidRPr="00E51366">
              <w:rPr>
                <w:rFonts w:eastAsia="Times New Roman" w:cs="Calibri Light"/>
                <w:b/>
                <w:sz w:val="18"/>
                <w:szCs w:val="18"/>
              </w:rPr>
              <w:t>Tier 4</w:t>
            </w:r>
            <w:r w:rsidRPr="00E51366">
              <w:rPr>
                <w:rFonts w:eastAsia="Times New Roman" w:cs="Calibri Light"/>
                <w:sz w:val="18"/>
                <w:szCs w:val="18"/>
              </w:rPr>
              <w:t xml:space="preserve">: </w:t>
            </w:r>
            <w:r w:rsidRPr="0088419A">
              <w:rPr>
                <w:rFonts w:eastAsia="Times New Roman" w:cs="Calibri Light"/>
                <w:sz w:val="18"/>
                <w:szCs w:val="18"/>
              </w:rPr>
              <w:t>Ductless Mini-Split Heat Pump (SEER 18, HSPF 9.</w:t>
            </w:r>
            <w:r w:rsidR="009772AA">
              <w:rPr>
                <w:rFonts w:eastAsia="Times New Roman" w:cs="Calibri Light"/>
                <w:sz w:val="18"/>
                <w:szCs w:val="18"/>
              </w:rPr>
              <w:t>7</w:t>
            </w:r>
            <w:r w:rsidRPr="0088419A">
              <w:rPr>
                <w:rFonts w:eastAsia="Times New Roman" w:cs="Calibri Light"/>
                <w:sz w:val="18"/>
                <w:szCs w:val="18"/>
              </w:rPr>
              <w:t>)</w:t>
            </w:r>
          </w:p>
        </w:tc>
        <w:tc>
          <w:tcPr>
            <w:tcW w:w="1813" w:type="dxa"/>
            <w:shd w:val="clear" w:color="auto" w:fill="auto"/>
            <w:noWrap/>
          </w:tcPr>
          <w:p w14:paraId="19912EA6" w14:textId="7F462E31" w:rsidR="00391C5F" w:rsidRPr="00E51366" w:rsidRDefault="00391C5F" w:rsidP="000A507B">
            <w:pPr>
              <w:jc w:val="center"/>
              <w:rPr>
                <w:rFonts w:eastAsia="Times New Roman" w:cs="Calibri Light"/>
                <w:sz w:val="18"/>
                <w:szCs w:val="18"/>
              </w:rPr>
            </w:pPr>
            <w:r w:rsidRPr="00E51366">
              <w:rPr>
                <w:rFonts w:eastAsia="Times New Roman" w:cs="Calibri Light"/>
                <w:sz w:val="18"/>
                <w:szCs w:val="18"/>
              </w:rPr>
              <w:t>$1,155.65</w:t>
            </w:r>
          </w:p>
        </w:tc>
      </w:tr>
    </w:tbl>
    <w:p w14:paraId="0DA42BE9" w14:textId="5F7C4B79" w:rsidR="00375BD8" w:rsidRDefault="00375BD8" w:rsidP="00B13E72">
      <w:pPr>
        <w:pStyle w:val="Normal1"/>
        <w:jc w:val="both"/>
        <w:rPr>
          <w:rFonts w:ascii="Calibri Light" w:eastAsiaTheme="minorEastAsia" w:hAnsi="Calibri Light" w:cs="Calibri Light"/>
          <w:color w:val="auto"/>
          <w:szCs w:val="24"/>
        </w:rPr>
      </w:pPr>
    </w:p>
    <w:p w14:paraId="62D82B4F" w14:textId="69A6C4A0" w:rsidR="00747BE4" w:rsidRDefault="00747BE4" w:rsidP="00B13E72">
      <w:pPr>
        <w:pStyle w:val="Normal1"/>
        <w:jc w:val="both"/>
        <w:rPr>
          <w:rFonts w:ascii="Calibri Light" w:eastAsiaTheme="minorEastAsia" w:hAnsi="Calibri Light" w:cs="Calibri Light"/>
          <w:color w:val="auto"/>
          <w:szCs w:val="24"/>
        </w:rPr>
      </w:pPr>
      <w:r>
        <w:rPr>
          <w:rFonts w:ascii="Calibri Light" w:eastAsiaTheme="minorEastAsia" w:hAnsi="Calibri Light" w:cs="Calibri Light"/>
          <w:color w:val="auto"/>
          <w:szCs w:val="24"/>
        </w:rPr>
        <w:t>Beside</w:t>
      </w:r>
      <w:r w:rsidR="009F435A">
        <w:rPr>
          <w:rFonts w:ascii="Calibri Light" w:eastAsiaTheme="minorEastAsia" w:hAnsi="Calibri Light" w:cs="Calibri Light"/>
          <w:color w:val="auto"/>
          <w:szCs w:val="24"/>
        </w:rPr>
        <w:t xml:space="preserve"> measure HVAC equipment costs, there are additional material costs associated with installing a new mini-split heat pump. These include a pad to locate the condenser</w:t>
      </w:r>
      <w:r w:rsidR="00215CF9">
        <w:rPr>
          <w:rFonts w:ascii="Calibri Light" w:eastAsiaTheme="minorEastAsia" w:hAnsi="Calibri Light" w:cs="Calibri Light"/>
          <w:color w:val="auto"/>
          <w:szCs w:val="24"/>
        </w:rPr>
        <w:t xml:space="preserve"> and</w:t>
      </w:r>
      <w:r w:rsidR="009F435A">
        <w:rPr>
          <w:rFonts w:ascii="Calibri Light" w:eastAsiaTheme="minorEastAsia" w:hAnsi="Calibri Light" w:cs="Calibri Light"/>
          <w:color w:val="auto"/>
          <w:szCs w:val="24"/>
        </w:rPr>
        <w:t xml:space="preserve"> </w:t>
      </w:r>
      <w:r w:rsidR="00744559">
        <w:rPr>
          <w:rFonts w:ascii="Calibri Light" w:eastAsiaTheme="minorEastAsia" w:hAnsi="Calibri Light" w:cs="Calibri Light"/>
          <w:color w:val="auto"/>
          <w:szCs w:val="24"/>
        </w:rPr>
        <w:t>conduit for power and refrigerant lines. These costs were estimated using RSMeans online</w:t>
      </w:r>
      <w:r w:rsidR="00004D90" w:rsidRPr="00004D90">
        <w:rPr>
          <w:sz w:val="18"/>
          <w:szCs w:val="18"/>
        </w:rPr>
        <w:t xml:space="preserve"> </w:t>
      </w:r>
      <w:r w:rsidR="00004D90" w:rsidRPr="00AD642E">
        <w:rPr>
          <w:rFonts w:ascii="Calibri Light" w:hAnsi="Calibri Light" w:cs="Calibri Light"/>
        </w:rPr>
        <w:t>kBTUh</w:t>
      </w:r>
      <w:r w:rsidR="000D2A58">
        <w:rPr>
          <w:rFonts w:ascii="Calibri Light" w:eastAsiaTheme="minorEastAsia" w:hAnsi="Calibri Light" w:cs="Calibri Light"/>
          <w:color w:val="auto"/>
          <w:szCs w:val="24"/>
        </w:rPr>
        <w:t>, RS Means Construction Cost Data</w:t>
      </w:r>
      <w:r w:rsidR="000D2A58">
        <w:rPr>
          <w:rStyle w:val="FootnoteReference"/>
        </w:rPr>
        <w:footnoteReference w:id="22"/>
      </w:r>
      <w:r w:rsidR="00744559">
        <w:rPr>
          <w:rFonts w:ascii="Calibri Light" w:eastAsiaTheme="minorEastAsia" w:hAnsi="Calibri Light" w:cs="Calibri Light"/>
          <w:color w:val="auto"/>
          <w:szCs w:val="24"/>
        </w:rPr>
        <w:t xml:space="preserve"> and online retailer costs. </w:t>
      </w:r>
      <w:r w:rsidR="002258C0">
        <w:rPr>
          <w:rFonts w:ascii="Calibri Light" w:eastAsiaTheme="minorEastAsia" w:hAnsi="Calibri Light" w:cs="Calibri Light"/>
          <w:color w:val="auto"/>
          <w:szCs w:val="24"/>
        </w:rPr>
        <w:t xml:space="preserve">The associated costs were normalized </w:t>
      </w:r>
      <w:r w:rsidR="00BD007D">
        <w:rPr>
          <w:rFonts w:ascii="Calibri Light" w:eastAsiaTheme="minorEastAsia" w:hAnsi="Calibri Light" w:cs="Calibri Light"/>
          <w:color w:val="auto"/>
          <w:szCs w:val="24"/>
        </w:rPr>
        <w:t>based on a midpoint system size of the measure which was found to be 1.5 tons</w:t>
      </w:r>
      <w:r w:rsidR="002258C0">
        <w:rPr>
          <w:rFonts w:ascii="Calibri Light" w:eastAsiaTheme="minorEastAsia" w:hAnsi="Calibri Light" w:cs="Calibri Light"/>
          <w:color w:val="auto"/>
          <w:szCs w:val="24"/>
        </w:rPr>
        <w:t xml:space="preserve">. </w:t>
      </w:r>
      <w:r w:rsidR="00001176">
        <w:rPr>
          <w:rFonts w:ascii="Calibri Light" w:hAnsi="Calibri Light" w:cs="Calibri Light"/>
        </w:rPr>
        <w:t>See cost calculations for more details.</w:t>
      </w:r>
      <w:r w:rsidR="00001176">
        <w:rPr>
          <w:rStyle w:val="FootnoteReference"/>
          <w:rFonts w:ascii="Calibri Light" w:hAnsi="Calibri Light" w:cs="Calibri Light"/>
        </w:rPr>
        <w:footnoteReference w:id="23"/>
      </w:r>
    </w:p>
    <w:p w14:paraId="239FB072" w14:textId="4040BA50" w:rsidR="002258C0" w:rsidRDefault="002258C0" w:rsidP="00B13E72">
      <w:pPr>
        <w:pStyle w:val="Normal1"/>
        <w:jc w:val="both"/>
        <w:rPr>
          <w:rFonts w:ascii="Calibri Light" w:eastAsiaTheme="minorEastAsia" w:hAnsi="Calibri Light" w:cs="Calibri Light"/>
          <w:color w:val="auto"/>
          <w:szCs w:val="24"/>
        </w:rPr>
      </w:pPr>
    </w:p>
    <w:tbl>
      <w:tblPr>
        <w:tblW w:w="9128" w:type="dxa"/>
        <w:tblLook w:val="04A0" w:firstRow="1" w:lastRow="0" w:firstColumn="1" w:lastColumn="0" w:noHBand="0" w:noVBand="1"/>
      </w:tblPr>
      <w:tblGrid>
        <w:gridCol w:w="7871"/>
        <w:gridCol w:w="1257"/>
      </w:tblGrid>
      <w:tr w:rsidR="002258C0" w:rsidRPr="00FC76DD" w14:paraId="12DDD7C7" w14:textId="77777777" w:rsidTr="001A20D1">
        <w:trPr>
          <w:trHeight w:val="144"/>
        </w:trPr>
        <w:tc>
          <w:tcPr>
            <w:tcW w:w="78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67BE7D0" w14:textId="77777777" w:rsidR="002258C0" w:rsidRPr="00FC76DD" w:rsidRDefault="002258C0" w:rsidP="002C6823">
            <w:pPr>
              <w:rPr>
                <w:rFonts w:eastAsia="Times New Roman" w:cs="Calibri Light"/>
                <w:b/>
                <w:bCs/>
                <w:sz w:val="20"/>
                <w:szCs w:val="20"/>
              </w:rPr>
            </w:pPr>
            <w:r w:rsidRPr="00FC76DD">
              <w:rPr>
                <w:rFonts w:eastAsia="Times New Roman" w:cs="Calibri Light"/>
                <w:b/>
                <w:bCs/>
                <w:sz w:val="20"/>
                <w:szCs w:val="20"/>
              </w:rPr>
              <w:t>Description</w:t>
            </w:r>
          </w:p>
        </w:tc>
        <w:tc>
          <w:tcPr>
            <w:tcW w:w="1257"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7A78EBE7" w14:textId="41BD7379" w:rsidR="002258C0" w:rsidRPr="00FC76DD" w:rsidRDefault="002258C0" w:rsidP="002C6823">
            <w:pPr>
              <w:jc w:val="center"/>
              <w:rPr>
                <w:rFonts w:eastAsia="Times New Roman" w:cs="Calibri Light"/>
                <w:b/>
                <w:bCs/>
                <w:sz w:val="20"/>
                <w:szCs w:val="20"/>
              </w:rPr>
            </w:pPr>
            <w:r>
              <w:rPr>
                <w:rFonts w:eastAsia="Times New Roman" w:cs="Calibri Light"/>
                <w:b/>
                <w:bCs/>
                <w:sz w:val="20"/>
                <w:szCs w:val="20"/>
              </w:rPr>
              <w:t>Material Cost</w:t>
            </w:r>
          </w:p>
        </w:tc>
      </w:tr>
      <w:tr w:rsidR="002258C0" w:rsidRPr="00FC76DD" w14:paraId="5E8776E8" w14:textId="77777777" w:rsidTr="001A20D1">
        <w:trPr>
          <w:trHeight w:val="71"/>
        </w:trPr>
        <w:tc>
          <w:tcPr>
            <w:tcW w:w="7871" w:type="dxa"/>
            <w:tcBorders>
              <w:top w:val="nil"/>
              <w:left w:val="single" w:sz="4" w:space="0" w:color="auto"/>
              <w:bottom w:val="single" w:sz="4" w:space="0" w:color="auto"/>
              <w:right w:val="single" w:sz="4" w:space="0" w:color="auto"/>
            </w:tcBorders>
            <w:shd w:val="clear" w:color="auto" w:fill="auto"/>
            <w:noWrap/>
            <w:vAlign w:val="center"/>
            <w:hideMark/>
          </w:tcPr>
          <w:p w14:paraId="10B8008F" w14:textId="120751D9" w:rsidR="002258C0" w:rsidRPr="00FC76DD" w:rsidRDefault="002258C0" w:rsidP="002258C0">
            <w:pPr>
              <w:rPr>
                <w:rFonts w:eastAsia="Times New Roman" w:cs="Calibri Light"/>
                <w:sz w:val="18"/>
                <w:szCs w:val="18"/>
              </w:rPr>
            </w:pPr>
            <w:r w:rsidRPr="00FC76DD">
              <w:rPr>
                <w:rFonts w:eastAsia="Times New Roman" w:cs="Calibri Light"/>
                <w:sz w:val="18"/>
                <w:szCs w:val="18"/>
              </w:rPr>
              <w:t>Install: Mini-Split Heat Pump, tube / wiring kit, 50'</w:t>
            </w:r>
          </w:p>
        </w:tc>
        <w:tc>
          <w:tcPr>
            <w:tcW w:w="1257" w:type="dxa"/>
            <w:tcBorders>
              <w:top w:val="nil"/>
              <w:left w:val="nil"/>
              <w:bottom w:val="single" w:sz="4" w:space="0" w:color="auto"/>
              <w:right w:val="single" w:sz="4" w:space="0" w:color="auto"/>
            </w:tcBorders>
            <w:shd w:val="clear" w:color="auto" w:fill="auto"/>
            <w:noWrap/>
            <w:vAlign w:val="center"/>
            <w:hideMark/>
          </w:tcPr>
          <w:p w14:paraId="7DFA3042" w14:textId="0E74B241" w:rsidR="002258C0" w:rsidRPr="00FC76DD" w:rsidRDefault="002258C0" w:rsidP="002258C0">
            <w:pPr>
              <w:jc w:val="center"/>
              <w:rPr>
                <w:rFonts w:eastAsia="Times New Roman" w:cs="Calibri Light"/>
                <w:sz w:val="18"/>
                <w:szCs w:val="18"/>
              </w:rPr>
            </w:pPr>
            <w:r>
              <w:rPr>
                <w:rFonts w:eastAsia="Times New Roman" w:cs="Calibri Light"/>
                <w:sz w:val="18"/>
                <w:szCs w:val="18"/>
              </w:rPr>
              <w:t>$206.00</w:t>
            </w:r>
          </w:p>
        </w:tc>
      </w:tr>
      <w:tr w:rsidR="002258C0" w:rsidRPr="00FC76DD" w14:paraId="23482BB8" w14:textId="77777777" w:rsidTr="001A20D1">
        <w:trPr>
          <w:trHeight w:val="71"/>
        </w:trPr>
        <w:tc>
          <w:tcPr>
            <w:tcW w:w="7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97B60" w14:textId="7EF5911C" w:rsidR="002258C0" w:rsidRPr="00FC76DD" w:rsidRDefault="002258C0" w:rsidP="002258C0">
            <w:pPr>
              <w:rPr>
                <w:rFonts w:eastAsia="Times New Roman" w:cs="Calibri Light"/>
                <w:sz w:val="18"/>
                <w:szCs w:val="18"/>
              </w:rPr>
            </w:pPr>
            <w:r w:rsidRPr="00FC76DD">
              <w:rPr>
                <w:rFonts w:eastAsia="Times New Roman" w:cs="Calibri Light"/>
                <w:sz w:val="18"/>
                <w:szCs w:val="18"/>
              </w:rPr>
              <w:t>Install: Condensing Unit Pad prefabricated, fiberglass reinforced concrete with polystyrene foam core, 2” thick, 24”x42”</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512EC43A" w14:textId="778F7843" w:rsidR="002258C0" w:rsidRPr="00FC76DD" w:rsidRDefault="002258C0" w:rsidP="002258C0">
            <w:pPr>
              <w:jc w:val="center"/>
              <w:rPr>
                <w:rFonts w:eastAsia="Times New Roman" w:cs="Calibri Light"/>
                <w:sz w:val="18"/>
                <w:szCs w:val="18"/>
              </w:rPr>
            </w:pPr>
            <w:r>
              <w:rPr>
                <w:rFonts w:eastAsia="Times New Roman" w:cs="Calibri Light"/>
                <w:sz w:val="18"/>
                <w:szCs w:val="18"/>
              </w:rPr>
              <w:t>$47.50</w:t>
            </w:r>
          </w:p>
        </w:tc>
      </w:tr>
      <w:tr w:rsidR="002258C0" w:rsidRPr="00FC76DD" w14:paraId="64084136" w14:textId="77777777" w:rsidTr="001A20D1">
        <w:trPr>
          <w:trHeight w:val="71"/>
        </w:trPr>
        <w:tc>
          <w:tcPr>
            <w:tcW w:w="78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2410C4" w14:textId="20596583" w:rsidR="002258C0" w:rsidRPr="00FC76DD" w:rsidRDefault="002258C0" w:rsidP="002258C0">
            <w:pPr>
              <w:rPr>
                <w:rFonts w:eastAsia="Times New Roman" w:cs="Calibri Light"/>
                <w:sz w:val="18"/>
                <w:szCs w:val="18"/>
              </w:rPr>
            </w:pPr>
            <w:r>
              <w:rPr>
                <w:rFonts w:eastAsia="Times New Roman" w:cs="Calibri Light"/>
                <w:sz w:val="18"/>
                <w:szCs w:val="18"/>
              </w:rPr>
              <w:t>Total Associated Cost</w:t>
            </w: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02A3E156" w14:textId="3DD2306D" w:rsidR="002258C0" w:rsidRPr="00FC76DD" w:rsidRDefault="002258C0" w:rsidP="002258C0">
            <w:pPr>
              <w:jc w:val="center"/>
              <w:rPr>
                <w:rFonts w:eastAsia="Times New Roman" w:cs="Calibri Light"/>
                <w:sz w:val="18"/>
                <w:szCs w:val="18"/>
              </w:rPr>
            </w:pPr>
            <w:r>
              <w:rPr>
                <w:rFonts w:eastAsia="Times New Roman" w:cs="Calibri Light"/>
                <w:sz w:val="18"/>
                <w:szCs w:val="18"/>
              </w:rPr>
              <w:t>$</w:t>
            </w:r>
            <w:r w:rsidR="008C643B">
              <w:rPr>
                <w:rFonts w:eastAsia="Times New Roman" w:cs="Calibri Light"/>
                <w:sz w:val="18"/>
                <w:szCs w:val="18"/>
              </w:rPr>
              <w:t>253.50</w:t>
            </w:r>
          </w:p>
        </w:tc>
      </w:tr>
      <w:tr w:rsidR="002258C0" w:rsidRPr="00FC76DD" w14:paraId="0CFEA810" w14:textId="77777777" w:rsidTr="001A20D1">
        <w:trPr>
          <w:trHeight w:val="27"/>
        </w:trPr>
        <w:tc>
          <w:tcPr>
            <w:tcW w:w="78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584DA2" w14:textId="7C73DD40" w:rsidR="002258C0" w:rsidRPr="00FC76DD" w:rsidRDefault="000D2A58" w:rsidP="002258C0">
            <w:pPr>
              <w:rPr>
                <w:rFonts w:eastAsia="Times New Roman" w:cs="Calibri Light"/>
                <w:sz w:val="18"/>
                <w:szCs w:val="18"/>
              </w:rPr>
            </w:pPr>
            <w:r>
              <w:rPr>
                <w:rFonts w:eastAsia="Times New Roman" w:cs="Calibri Light"/>
                <w:sz w:val="18"/>
                <w:szCs w:val="18"/>
              </w:rPr>
              <w:t>Total Normalized Cost</w:t>
            </w:r>
            <w:r w:rsidR="00340CB4">
              <w:rPr>
                <w:rFonts w:eastAsia="Times New Roman" w:cs="Calibri Light"/>
                <w:sz w:val="18"/>
                <w:szCs w:val="18"/>
              </w:rPr>
              <w:t xml:space="preserve"> </w:t>
            </w:r>
          </w:p>
        </w:tc>
        <w:tc>
          <w:tcPr>
            <w:tcW w:w="1257" w:type="dxa"/>
            <w:tcBorders>
              <w:top w:val="single" w:sz="4" w:space="0" w:color="auto"/>
              <w:left w:val="nil"/>
              <w:bottom w:val="single" w:sz="4" w:space="0" w:color="auto"/>
              <w:right w:val="single" w:sz="4" w:space="0" w:color="auto"/>
            </w:tcBorders>
            <w:shd w:val="clear" w:color="auto" w:fill="auto"/>
            <w:noWrap/>
            <w:vAlign w:val="center"/>
          </w:tcPr>
          <w:p w14:paraId="13A71C8A" w14:textId="43989A91" w:rsidR="002258C0" w:rsidRPr="00FC76DD" w:rsidRDefault="002258C0" w:rsidP="002258C0">
            <w:pPr>
              <w:jc w:val="center"/>
              <w:rPr>
                <w:rFonts w:eastAsia="Times New Roman" w:cs="Calibri Light"/>
                <w:sz w:val="18"/>
                <w:szCs w:val="18"/>
              </w:rPr>
            </w:pPr>
            <w:r>
              <w:rPr>
                <w:rFonts w:eastAsia="Times New Roman" w:cs="Calibri Light"/>
                <w:sz w:val="18"/>
                <w:szCs w:val="18"/>
              </w:rPr>
              <w:t>$</w:t>
            </w:r>
            <w:r w:rsidR="008C643B">
              <w:rPr>
                <w:rFonts w:eastAsia="Times New Roman" w:cs="Calibri Light"/>
                <w:sz w:val="18"/>
                <w:szCs w:val="18"/>
              </w:rPr>
              <w:t>169.00</w:t>
            </w:r>
          </w:p>
        </w:tc>
      </w:tr>
    </w:tbl>
    <w:p w14:paraId="0E38720C" w14:textId="77777777" w:rsidR="002258C0" w:rsidRDefault="002258C0" w:rsidP="00B13E72">
      <w:pPr>
        <w:pStyle w:val="Normal1"/>
        <w:jc w:val="both"/>
        <w:rPr>
          <w:rFonts w:ascii="Calibri Light" w:eastAsiaTheme="minorEastAsia" w:hAnsi="Calibri Light" w:cs="Calibri Light"/>
          <w:color w:val="auto"/>
          <w:szCs w:val="24"/>
        </w:rPr>
      </w:pPr>
    </w:p>
    <w:p w14:paraId="69A60548" w14:textId="77777777" w:rsidR="00747BE4" w:rsidRPr="00C6243E" w:rsidRDefault="00747BE4" w:rsidP="00B13E72">
      <w:pPr>
        <w:pStyle w:val="Normal1"/>
        <w:jc w:val="both"/>
        <w:rPr>
          <w:rFonts w:ascii="Calibri Light" w:eastAsiaTheme="minorEastAsia" w:hAnsi="Calibri Light" w:cs="Calibri Light"/>
          <w:color w:val="auto"/>
          <w:szCs w:val="24"/>
        </w:rPr>
      </w:pPr>
    </w:p>
    <w:p w14:paraId="2AA7FBD2" w14:textId="4D9FFD34" w:rsidR="00CB6913" w:rsidRDefault="00D372A5" w:rsidP="00B13E72">
      <w:pPr>
        <w:pStyle w:val="NoSpacing"/>
        <w:jc w:val="both"/>
        <w:rPr>
          <w:rFonts w:ascii="Calibri Light" w:hAnsi="Calibri Light"/>
        </w:rPr>
      </w:pPr>
      <w:bookmarkStart w:id="62" w:name="_Hlk52525826"/>
      <w:r>
        <w:rPr>
          <w:rFonts w:ascii="Calibri Light" w:eastAsiaTheme="minorEastAsia" w:hAnsi="Calibri Light" w:cs="Calibri Light"/>
          <w:b/>
          <w:szCs w:val="24"/>
        </w:rPr>
        <w:t>Infrastructure Costs</w:t>
      </w:r>
      <w:r w:rsidR="00F423E7" w:rsidRPr="004058CF">
        <w:rPr>
          <w:rFonts w:ascii="Calibri Light" w:hAnsi="Calibri Light"/>
        </w:rPr>
        <w:t xml:space="preserve">. </w:t>
      </w:r>
      <w:r w:rsidR="00B46114">
        <w:rPr>
          <w:rFonts w:ascii="Calibri Light" w:hAnsi="Calibri Light"/>
        </w:rPr>
        <w:t xml:space="preserve"> </w:t>
      </w:r>
      <w:r w:rsidR="004A4A34">
        <w:rPr>
          <w:rFonts w:ascii="Calibri Light" w:hAnsi="Calibri Light"/>
        </w:rPr>
        <w:t>A</w:t>
      </w:r>
      <w:r w:rsidR="00F423E7" w:rsidRPr="004058CF">
        <w:rPr>
          <w:rFonts w:ascii="Calibri Light" w:hAnsi="Calibri Light"/>
        </w:rPr>
        <w:t xml:space="preserve"> natural gas </w:t>
      </w:r>
      <w:r w:rsidR="004A4A34">
        <w:rPr>
          <w:rFonts w:ascii="Calibri Light" w:hAnsi="Calibri Light"/>
        </w:rPr>
        <w:t>wall furnace and</w:t>
      </w:r>
      <w:r w:rsidR="00B3231E">
        <w:rPr>
          <w:rFonts w:ascii="Calibri Light" w:hAnsi="Calibri Light"/>
        </w:rPr>
        <w:t>/or</w:t>
      </w:r>
      <w:r w:rsidR="004A4A34">
        <w:rPr>
          <w:rFonts w:ascii="Calibri Light" w:hAnsi="Calibri Light"/>
        </w:rPr>
        <w:t xml:space="preserve"> </w:t>
      </w:r>
      <w:r w:rsidR="00B3231E">
        <w:rPr>
          <w:rFonts w:ascii="Calibri Light" w:hAnsi="Calibri Light"/>
        </w:rPr>
        <w:t xml:space="preserve">an </w:t>
      </w:r>
      <w:r w:rsidR="004A4A34">
        <w:rPr>
          <w:rFonts w:ascii="Calibri Light" w:hAnsi="Calibri Light"/>
        </w:rPr>
        <w:t>electric window air conditioner to mini-split</w:t>
      </w:r>
      <w:r w:rsidR="00F423E7" w:rsidRPr="004058CF">
        <w:rPr>
          <w:rFonts w:ascii="Calibri Light" w:hAnsi="Calibri Light"/>
        </w:rPr>
        <w:t xml:space="preserve"> heat pump</w:t>
      </w:r>
      <w:r w:rsidR="00EE3BDD">
        <w:rPr>
          <w:rFonts w:ascii="Calibri Light" w:hAnsi="Calibri Light"/>
        </w:rPr>
        <w:t xml:space="preserve"> conversion </w:t>
      </w:r>
      <w:r w:rsidR="00F423E7" w:rsidRPr="004058CF">
        <w:rPr>
          <w:rFonts w:ascii="Calibri Light" w:hAnsi="Calibri Light"/>
        </w:rPr>
        <w:t xml:space="preserve">infrastructure upgrade would </w:t>
      </w:r>
      <w:r w:rsidR="00004D90">
        <w:rPr>
          <w:rFonts w:ascii="Calibri Light" w:hAnsi="Calibri Light"/>
        </w:rPr>
        <w:t xml:space="preserve">include </w:t>
      </w:r>
      <w:r w:rsidR="00F423E7" w:rsidRPr="004058CF">
        <w:rPr>
          <w:rFonts w:ascii="Calibri Light" w:hAnsi="Calibri Light"/>
        </w:rPr>
        <w:t>capping off the natural gas line</w:t>
      </w:r>
      <w:r w:rsidR="0088419A">
        <w:rPr>
          <w:rFonts w:ascii="Calibri Light" w:hAnsi="Calibri Light"/>
        </w:rPr>
        <w:t xml:space="preserve">, </w:t>
      </w:r>
      <w:r w:rsidR="0086277C">
        <w:rPr>
          <w:rFonts w:ascii="Calibri Light" w:hAnsi="Calibri Light"/>
        </w:rPr>
        <w:t>run</w:t>
      </w:r>
      <w:r w:rsidR="007E3189">
        <w:rPr>
          <w:rFonts w:ascii="Calibri Light" w:hAnsi="Calibri Light"/>
        </w:rPr>
        <w:t>ning</w:t>
      </w:r>
      <w:r w:rsidR="0086277C">
        <w:rPr>
          <w:rFonts w:ascii="Calibri Light" w:hAnsi="Calibri Light"/>
        </w:rPr>
        <w:t xml:space="preserve"> wires</w:t>
      </w:r>
      <w:r w:rsidR="005D19BE">
        <w:rPr>
          <w:rFonts w:ascii="Calibri Light" w:hAnsi="Calibri Light"/>
        </w:rPr>
        <w:t xml:space="preserve"> </w:t>
      </w:r>
      <w:r w:rsidR="001A20D1">
        <w:rPr>
          <w:rFonts w:ascii="Calibri Light" w:hAnsi="Calibri Light"/>
        </w:rPr>
        <w:t xml:space="preserve">from the breaker </w:t>
      </w:r>
      <w:r w:rsidR="005D19BE">
        <w:rPr>
          <w:rFonts w:ascii="Calibri Light" w:hAnsi="Calibri Light"/>
        </w:rPr>
        <w:t xml:space="preserve">to </w:t>
      </w:r>
      <w:r w:rsidR="00986E04">
        <w:rPr>
          <w:rFonts w:ascii="Calibri Light" w:hAnsi="Calibri Light"/>
        </w:rPr>
        <w:t>connec</w:t>
      </w:r>
      <w:r w:rsidR="004B7014">
        <w:rPr>
          <w:rFonts w:ascii="Calibri Light" w:hAnsi="Calibri Light"/>
        </w:rPr>
        <w:t xml:space="preserve">t </w:t>
      </w:r>
      <w:r w:rsidR="001A20D1">
        <w:rPr>
          <w:rFonts w:ascii="Calibri Light" w:hAnsi="Calibri Light"/>
        </w:rPr>
        <w:t xml:space="preserve">to </w:t>
      </w:r>
      <w:r w:rsidR="004B7014">
        <w:rPr>
          <w:rFonts w:ascii="Calibri Light" w:hAnsi="Calibri Light"/>
        </w:rPr>
        <w:t>t</w:t>
      </w:r>
      <w:r w:rsidR="000A3F47">
        <w:rPr>
          <w:rFonts w:ascii="Calibri Light" w:hAnsi="Calibri Light"/>
        </w:rPr>
        <w:t>he</w:t>
      </w:r>
      <w:r w:rsidR="001229EC">
        <w:rPr>
          <w:rFonts w:ascii="Calibri Light" w:hAnsi="Calibri Light"/>
        </w:rPr>
        <w:t xml:space="preserve"> mini-split heat pump</w:t>
      </w:r>
      <w:r w:rsidR="000A3F47">
        <w:rPr>
          <w:rFonts w:ascii="Calibri Light" w:hAnsi="Calibri Light"/>
        </w:rPr>
        <w:t xml:space="preserve"> indoor and outdoor unit</w:t>
      </w:r>
      <w:r w:rsidR="00986E04">
        <w:rPr>
          <w:rFonts w:ascii="Calibri Light" w:hAnsi="Calibri Light"/>
        </w:rPr>
        <w:t>s</w:t>
      </w:r>
      <w:r w:rsidR="0088419A">
        <w:rPr>
          <w:rFonts w:ascii="Calibri Light" w:hAnsi="Calibri Light"/>
        </w:rPr>
        <w:t>, and repairing holes in walls from demolished baseline equipment</w:t>
      </w:r>
      <w:r w:rsidR="00F423E7" w:rsidRPr="004058CF">
        <w:rPr>
          <w:rFonts w:ascii="Calibri Light" w:hAnsi="Calibri Light"/>
        </w:rPr>
        <w:t xml:space="preserve">. </w:t>
      </w:r>
      <w:r w:rsidR="00472B3E">
        <w:rPr>
          <w:rFonts w:ascii="Calibri Light" w:hAnsi="Calibri Light"/>
        </w:rPr>
        <w:t xml:space="preserve">For the heating only measures, the demo and repair for the wall AC would not be needed and is thus not included in the base measure labor costs. </w:t>
      </w:r>
      <w:r w:rsidR="0088419A" w:rsidRPr="000D2A58">
        <w:rPr>
          <w:rFonts w:asciiTheme="majorHAnsi" w:hAnsiTheme="majorHAnsi" w:cstheme="majorHAnsi"/>
        </w:rPr>
        <w:t xml:space="preserve">The section of the wall that needs to be patched and painted was based on the dimensions </w:t>
      </w:r>
      <w:r w:rsidR="0088419A">
        <w:rPr>
          <w:rFonts w:asciiTheme="majorHAnsi" w:hAnsiTheme="majorHAnsi" w:cstheme="majorHAnsi"/>
        </w:rPr>
        <w:t xml:space="preserve">of typical </w:t>
      </w:r>
      <w:r w:rsidR="0088419A" w:rsidRPr="000D2A58">
        <w:rPr>
          <w:rFonts w:asciiTheme="majorHAnsi" w:hAnsiTheme="majorHAnsi" w:cstheme="majorHAnsi"/>
        </w:rPr>
        <w:t>wall furnace</w:t>
      </w:r>
      <w:r w:rsidR="0088419A">
        <w:rPr>
          <w:rFonts w:asciiTheme="majorHAnsi" w:hAnsiTheme="majorHAnsi" w:cstheme="majorHAnsi"/>
        </w:rPr>
        <w:t>s</w:t>
      </w:r>
      <w:r w:rsidR="0088419A" w:rsidRPr="000D2A58">
        <w:rPr>
          <w:rFonts w:asciiTheme="majorHAnsi" w:hAnsiTheme="majorHAnsi" w:cstheme="majorHAnsi"/>
        </w:rPr>
        <w:t>.</w:t>
      </w:r>
      <w:r w:rsidR="0088419A" w:rsidRPr="000D2A58">
        <w:rPr>
          <w:rFonts w:cs="Calibri Light"/>
          <w:sz w:val="20"/>
          <w:szCs w:val="20"/>
        </w:rPr>
        <w:t xml:space="preserve"> </w:t>
      </w:r>
      <w:r w:rsidR="0088419A">
        <w:rPr>
          <w:rFonts w:cs="Calibri Light"/>
          <w:sz w:val="20"/>
          <w:szCs w:val="20"/>
        </w:rPr>
        <w:t xml:space="preserve"> </w:t>
      </w:r>
      <w:r w:rsidR="00684661">
        <w:rPr>
          <w:rFonts w:ascii="Calibri Light" w:hAnsi="Calibri Light"/>
        </w:rPr>
        <w:t xml:space="preserve">These infrastructure costs were estimated using RSMeans </w:t>
      </w:r>
      <w:r w:rsidR="00BD477C">
        <w:rPr>
          <w:rFonts w:ascii="Calibri Light" w:hAnsi="Calibri Light"/>
        </w:rPr>
        <w:t>o</w:t>
      </w:r>
      <w:r w:rsidR="00684661">
        <w:rPr>
          <w:rFonts w:ascii="Calibri Light" w:hAnsi="Calibri Light"/>
        </w:rPr>
        <w:t>nline data</w:t>
      </w:r>
      <w:r w:rsidR="00684661">
        <w:rPr>
          <w:rStyle w:val="FootnoteReference"/>
          <w:rFonts w:ascii="Calibri Light" w:hAnsi="Calibri Light"/>
        </w:rPr>
        <w:footnoteReference w:id="24"/>
      </w:r>
      <w:r w:rsidR="00905690">
        <w:rPr>
          <w:rFonts w:ascii="Calibri Light" w:hAnsi="Calibri Light"/>
        </w:rPr>
        <w:t xml:space="preserve"> and </w:t>
      </w:r>
      <w:r w:rsidR="00684661">
        <w:rPr>
          <w:rFonts w:ascii="Calibri Light" w:hAnsi="Calibri Light"/>
        </w:rPr>
        <w:t xml:space="preserve">online retailer costs. RSMeans hourly </w:t>
      </w:r>
      <w:r w:rsidR="00684661">
        <w:rPr>
          <w:rFonts w:ascii="Calibri Light" w:hAnsi="Calibri Light"/>
        </w:rPr>
        <w:lastRenderedPageBreak/>
        <w:t>labor rates for a residential electrician</w:t>
      </w:r>
      <w:r w:rsidR="00340CB4">
        <w:rPr>
          <w:rFonts w:ascii="Calibri Light" w:hAnsi="Calibri Light"/>
        </w:rPr>
        <w:t xml:space="preserve"> were used for mechanical labor</w:t>
      </w:r>
      <w:r w:rsidR="0088419A">
        <w:rPr>
          <w:rFonts w:ascii="Calibri Light" w:hAnsi="Calibri Light"/>
        </w:rPr>
        <w:t xml:space="preserve">, </w:t>
      </w:r>
      <w:r w:rsidR="00340CB4" w:rsidRPr="00AD642E">
        <w:rPr>
          <w:rFonts w:ascii="Calibri Light" w:hAnsi="Calibri Light" w:cs="Calibri Light"/>
        </w:rPr>
        <w:t>while a general laborer was used for wall repair.</w:t>
      </w:r>
      <w:r w:rsidR="00340CB4" w:rsidRPr="00AD642E">
        <w:rPr>
          <w:rStyle w:val="FootnoteReference"/>
          <w:rFonts w:ascii="Calibri Light" w:hAnsi="Calibri Light" w:cs="Calibri Light"/>
        </w:rPr>
        <w:t xml:space="preserve"> </w:t>
      </w:r>
      <w:r w:rsidR="00340CB4" w:rsidRPr="00AD642E">
        <w:rPr>
          <w:rStyle w:val="FootnoteReference"/>
          <w:rFonts w:ascii="Calibri Light" w:hAnsi="Calibri Light" w:cs="Calibri Light"/>
        </w:rPr>
        <w:footnoteReference w:id="25"/>
      </w:r>
      <w:r w:rsidR="00340CB4" w:rsidRPr="00340CB4">
        <w:t xml:space="preserve">  </w:t>
      </w:r>
      <w:r w:rsidR="00684661">
        <w:rPr>
          <w:rFonts w:ascii="Calibri Light" w:hAnsi="Calibri Light"/>
        </w:rPr>
        <w:t xml:space="preserve">See the table below for details and the cost calculations for more details. </w:t>
      </w:r>
      <w:r w:rsidR="00001176">
        <w:rPr>
          <w:rStyle w:val="FootnoteReference"/>
          <w:rFonts w:ascii="Calibri Light" w:hAnsi="Calibri Light" w:cs="Calibri Light"/>
        </w:rPr>
        <w:footnoteReference w:id="26"/>
      </w:r>
    </w:p>
    <w:p w14:paraId="54D2A8F0" w14:textId="77777777" w:rsidR="00CB6913" w:rsidRDefault="00CB6913" w:rsidP="00B13E72">
      <w:pPr>
        <w:pStyle w:val="NoSpacing"/>
        <w:jc w:val="both"/>
        <w:rPr>
          <w:rFonts w:ascii="Calibri Light" w:hAnsi="Calibri Light"/>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6"/>
        <w:gridCol w:w="1260"/>
        <w:gridCol w:w="1169"/>
        <w:gridCol w:w="991"/>
        <w:gridCol w:w="1135"/>
        <w:gridCol w:w="1025"/>
      </w:tblGrid>
      <w:tr w:rsidR="005335B3" w:rsidRPr="00AF1AC2" w14:paraId="24AFEB0B" w14:textId="77777777" w:rsidTr="005335B3">
        <w:trPr>
          <w:trHeight w:val="469"/>
        </w:trPr>
        <w:tc>
          <w:tcPr>
            <w:tcW w:w="37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C7518DA" w14:textId="77777777" w:rsidR="005335B3" w:rsidRPr="00AF1AC2" w:rsidRDefault="005335B3" w:rsidP="007C7A88">
            <w:pPr>
              <w:jc w:val="both"/>
              <w:rPr>
                <w:rFonts w:eastAsia="Times New Roman" w:cs="Calibri Light"/>
                <w:b/>
                <w:bCs/>
                <w:sz w:val="20"/>
                <w:szCs w:val="20"/>
              </w:rPr>
            </w:pPr>
            <w:r>
              <w:rPr>
                <w:rFonts w:eastAsia="Times New Roman" w:cs="Calibri Light"/>
                <w:b/>
                <w:bCs/>
                <w:sz w:val="20"/>
                <w:szCs w:val="20"/>
              </w:rPr>
              <w:t>Description of Work</w:t>
            </w:r>
          </w:p>
        </w:tc>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474580" w14:textId="77777777" w:rsidR="005335B3" w:rsidRDefault="005335B3" w:rsidP="007C7A88">
            <w:pPr>
              <w:jc w:val="center"/>
              <w:rPr>
                <w:rFonts w:eastAsia="Times New Roman" w:cs="Calibri Light"/>
                <w:b/>
                <w:bCs/>
                <w:sz w:val="20"/>
                <w:szCs w:val="20"/>
              </w:rPr>
            </w:pPr>
            <w:r>
              <w:rPr>
                <w:rFonts w:eastAsia="Times New Roman" w:cs="Calibri Light"/>
                <w:b/>
                <w:bCs/>
                <w:sz w:val="20"/>
                <w:szCs w:val="20"/>
              </w:rPr>
              <w:t>Labor Hours</w:t>
            </w:r>
          </w:p>
        </w:tc>
        <w:tc>
          <w:tcPr>
            <w:tcW w:w="11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422555" w14:textId="77777777" w:rsidR="005335B3" w:rsidRPr="00AF1AC2" w:rsidRDefault="005335B3" w:rsidP="007C7A88">
            <w:pPr>
              <w:jc w:val="center"/>
              <w:rPr>
                <w:rFonts w:eastAsia="Times New Roman" w:cs="Calibri Light"/>
                <w:b/>
                <w:bCs/>
                <w:sz w:val="20"/>
                <w:szCs w:val="20"/>
              </w:rPr>
            </w:pPr>
            <w:r>
              <w:rPr>
                <w:rFonts w:eastAsia="Times New Roman" w:cs="Calibri Light"/>
                <w:b/>
                <w:bCs/>
                <w:sz w:val="20"/>
                <w:szCs w:val="20"/>
              </w:rPr>
              <w:t>Labor Rate</w:t>
            </w:r>
          </w:p>
        </w:tc>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9EDBA9" w14:textId="77777777" w:rsidR="005335B3" w:rsidRDefault="005335B3" w:rsidP="007C7A88">
            <w:pPr>
              <w:jc w:val="center"/>
              <w:rPr>
                <w:rFonts w:eastAsia="Times New Roman" w:cs="Calibri Light"/>
                <w:b/>
                <w:bCs/>
                <w:sz w:val="20"/>
                <w:szCs w:val="20"/>
              </w:rPr>
            </w:pPr>
            <w:r>
              <w:rPr>
                <w:rFonts w:eastAsia="Times New Roman" w:cs="Calibri Light"/>
                <w:b/>
                <w:bCs/>
                <w:sz w:val="20"/>
                <w:szCs w:val="20"/>
              </w:rPr>
              <w:t>Labor Cost</w:t>
            </w:r>
          </w:p>
        </w:tc>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5DBB8F" w14:textId="77777777" w:rsidR="005335B3" w:rsidRPr="00AF1AC2" w:rsidRDefault="005335B3" w:rsidP="007C7A88">
            <w:pPr>
              <w:jc w:val="center"/>
              <w:rPr>
                <w:rFonts w:eastAsia="Times New Roman" w:cs="Calibri Light"/>
                <w:b/>
                <w:bCs/>
                <w:sz w:val="20"/>
                <w:szCs w:val="20"/>
              </w:rPr>
            </w:pPr>
            <w:r>
              <w:rPr>
                <w:rFonts w:eastAsia="Times New Roman" w:cs="Calibri Light"/>
                <w:b/>
                <w:bCs/>
                <w:sz w:val="20"/>
                <w:szCs w:val="20"/>
              </w:rPr>
              <w:t>Material Cost</w:t>
            </w:r>
          </w:p>
        </w:tc>
        <w:tc>
          <w:tcPr>
            <w:tcW w:w="10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F13CA2" w14:textId="77777777" w:rsidR="005335B3" w:rsidRPr="00AF1AC2" w:rsidRDefault="005335B3" w:rsidP="007C7A88">
            <w:pPr>
              <w:jc w:val="center"/>
              <w:rPr>
                <w:rFonts w:eastAsia="Times New Roman" w:cs="Calibri Light"/>
                <w:b/>
                <w:bCs/>
                <w:sz w:val="20"/>
                <w:szCs w:val="20"/>
              </w:rPr>
            </w:pPr>
            <w:r>
              <w:rPr>
                <w:rFonts w:eastAsia="Times New Roman" w:cs="Calibri Light"/>
                <w:b/>
                <w:bCs/>
                <w:sz w:val="20"/>
                <w:szCs w:val="20"/>
              </w:rPr>
              <w:t>Total Cost</w:t>
            </w:r>
          </w:p>
        </w:tc>
      </w:tr>
      <w:tr w:rsidR="00340CB4" w:rsidRPr="00AF1AC2" w14:paraId="10EB82EC" w14:textId="77777777" w:rsidTr="00AD642E">
        <w:trPr>
          <w:trHeight w:val="469"/>
        </w:trPr>
        <w:tc>
          <w:tcPr>
            <w:tcW w:w="37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52794" w14:textId="7110B8C5" w:rsidR="00340CB4" w:rsidRDefault="00340CB4" w:rsidP="00340CB4">
            <w:pPr>
              <w:jc w:val="both"/>
              <w:rPr>
                <w:rFonts w:eastAsia="Times New Roman" w:cs="Calibri Light"/>
                <w:b/>
                <w:bCs/>
                <w:sz w:val="20"/>
                <w:szCs w:val="20"/>
              </w:rPr>
            </w:pPr>
            <w:r w:rsidRPr="00FC76DD">
              <w:rPr>
                <w:rFonts w:eastAsia="Times New Roman" w:cs="Calibri Light"/>
                <w:sz w:val="18"/>
                <w:szCs w:val="18"/>
              </w:rPr>
              <w:t>Demolish Wall Furnace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D8C585E" w14:textId="3091CD8B" w:rsidR="00340CB4" w:rsidRDefault="00340CB4">
            <w:pPr>
              <w:jc w:val="center"/>
              <w:rPr>
                <w:rFonts w:eastAsia="Times New Roman" w:cs="Calibri Light"/>
                <w:b/>
                <w:bCs/>
                <w:sz w:val="20"/>
                <w:szCs w:val="20"/>
              </w:rPr>
            </w:pPr>
            <w:r w:rsidRPr="00FC76DD">
              <w:rPr>
                <w:rFonts w:eastAsia="Times New Roman" w:cs="Calibri Light"/>
                <w:sz w:val="18"/>
                <w:szCs w:val="18"/>
              </w:rPr>
              <w:t>4.000</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3C26F4E0" w14:textId="648718DF" w:rsidR="00340CB4" w:rsidRDefault="00340CB4">
            <w:pPr>
              <w:jc w:val="center"/>
              <w:rPr>
                <w:rFonts w:eastAsia="Times New Roman" w:cs="Calibri Light"/>
                <w:b/>
                <w:bCs/>
                <w:sz w:val="20"/>
                <w:szCs w:val="20"/>
              </w:rPr>
            </w:pPr>
            <w:r w:rsidRPr="00FC76DD">
              <w:rPr>
                <w:rFonts w:eastAsia="Times New Roman" w:cs="Calibri Light"/>
                <w:sz w:val="18"/>
                <w:szCs w:val="18"/>
              </w:rPr>
              <w:t>$67.55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3D8D106A" w14:textId="2DD218E0" w:rsidR="00340CB4" w:rsidRDefault="00340CB4">
            <w:pPr>
              <w:jc w:val="center"/>
              <w:rPr>
                <w:rFonts w:eastAsia="Times New Roman" w:cs="Calibri Light"/>
                <w:b/>
                <w:bCs/>
                <w:sz w:val="20"/>
                <w:szCs w:val="20"/>
              </w:rPr>
            </w:pPr>
            <w:r w:rsidRPr="00FC76DD">
              <w:rPr>
                <w:rFonts w:eastAsia="Times New Roman" w:cs="Calibri Light"/>
                <w:sz w:val="18"/>
                <w:szCs w:val="18"/>
              </w:rPr>
              <w:t>$270.20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67BB8095" w14:textId="29AEE42D" w:rsidR="00340CB4" w:rsidRDefault="00340CB4">
            <w:pPr>
              <w:jc w:val="center"/>
              <w:rPr>
                <w:rFonts w:eastAsia="Times New Roman" w:cs="Calibri Light"/>
                <w:b/>
                <w:bCs/>
                <w:sz w:val="20"/>
                <w:szCs w:val="20"/>
              </w:rPr>
            </w:pPr>
            <w:r w:rsidRPr="00E51366">
              <w:rPr>
                <w:rFonts w:eastAsia="Times New Roman" w:cs="Calibri Light"/>
                <w:sz w:val="18"/>
                <w:szCs w:val="18"/>
              </w:rPr>
              <w:t>$</w:t>
            </w:r>
            <w:r>
              <w:rPr>
                <w:rFonts w:eastAsia="Times New Roman" w:cs="Calibri Light"/>
                <w:sz w:val="18"/>
                <w:szCs w:val="18"/>
              </w:rPr>
              <w:t>0</w:t>
            </w:r>
            <w:r w:rsidRPr="00E51366">
              <w:rPr>
                <w:rFonts w:eastAsia="Times New Roman" w:cs="Calibri Light"/>
                <w:sz w:val="18"/>
                <w:szCs w:val="18"/>
              </w:rPr>
              <w:t>.00</w:t>
            </w: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14:paraId="1F40B84F" w14:textId="08F593DC" w:rsidR="00340CB4" w:rsidRPr="00AD642E" w:rsidRDefault="00340CB4">
            <w:pPr>
              <w:jc w:val="center"/>
              <w:rPr>
                <w:rFonts w:asciiTheme="majorHAnsi" w:eastAsia="Times New Roman" w:hAnsiTheme="majorHAnsi" w:cstheme="majorHAnsi"/>
                <w:b/>
                <w:bCs/>
                <w:sz w:val="18"/>
                <w:szCs w:val="18"/>
              </w:rPr>
            </w:pPr>
            <w:r w:rsidRPr="00AD642E">
              <w:rPr>
                <w:rFonts w:asciiTheme="majorHAnsi" w:hAnsiTheme="majorHAnsi" w:cstheme="majorHAnsi"/>
                <w:color w:val="000000"/>
                <w:sz w:val="18"/>
                <w:szCs w:val="18"/>
              </w:rPr>
              <w:t>$270.20</w:t>
            </w:r>
          </w:p>
        </w:tc>
      </w:tr>
      <w:tr w:rsidR="00340CB4" w:rsidRPr="00AF1AC2" w14:paraId="1F21A09D" w14:textId="77777777" w:rsidTr="00AD642E">
        <w:trPr>
          <w:trHeight w:val="469"/>
        </w:trPr>
        <w:tc>
          <w:tcPr>
            <w:tcW w:w="37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74F1D" w14:textId="298D5A61" w:rsidR="00340CB4" w:rsidRDefault="00340CB4" w:rsidP="00340CB4">
            <w:pPr>
              <w:jc w:val="both"/>
              <w:rPr>
                <w:rFonts w:eastAsia="Times New Roman" w:cs="Calibri Light"/>
                <w:b/>
                <w:bCs/>
                <w:sz w:val="20"/>
                <w:szCs w:val="20"/>
              </w:rPr>
            </w:pPr>
            <w:r w:rsidRPr="00FC76DD">
              <w:rPr>
                <w:rFonts w:eastAsia="Times New Roman" w:cs="Calibri Light"/>
                <w:sz w:val="18"/>
                <w:szCs w:val="18"/>
              </w:rPr>
              <w:t>Demolish Window AC</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6B2DD96" w14:textId="7011187F" w:rsidR="00340CB4" w:rsidRDefault="00340CB4">
            <w:pPr>
              <w:jc w:val="center"/>
              <w:rPr>
                <w:rFonts w:eastAsia="Times New Roman" w:cs="Calibri Light"/>
                <w:b/>
                <w:bCs/>
                <w:sz w:val="20"/>
                <w:szCs w:val="20"/>
              </w:rPr>
            </w:pPr>
            <w:r w:rsidRPr="00FC76DD">
              <w:rPr>
                <w:rFonts w:eastAsia="Times New Roman" w:cs="Calibri Light"/>
                <w:sz w:val="18"/>
                <w:szCs w:val="18"/>
              </w:rPr>
              <w:t>0.500</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66EB72FF" w14:textId="5AE5B925" w:rsidR="00340CB4" w:rsidRDefault="00340CB4">
            <w:pPr>
              <w:jc w:val="center"/>
              <w:rPr>
                <w:rFonts w:eastAsia="Times New Roman" w:cs="Calibri Light"/>
                <w:b/>
                <w:bCs/>
                <w:sz w:val="20"/>
                <w:szCs w:val="20"/>
              </w:rPr>
            </w:pPr>
            <w:r w:rsidRPr="00FC76DD">
              <w:rPr>
                <w:rFonts w:eastAsia="Times New Roman" w:cs="Calibri Light"/>
                <w:sz w:val="18"/>
                <w:szCs w:val="18"/>
              </w:rPr>
              <w:t>$67.55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71A7809E" w14:textId="39FCA7C5" w:rsidR="00340CB4" w:rsidRDefault="00340CB4">
            <w:pPr>
              <w:jc w:val="center"/>
              <w:rPr>
                <w:rFonts w:eastAsia="Times New Roman" w:cs="Calibri Light"/>
                <w:b/>
                <w:bCs/>
                <w:sz w:val="20"/>
                <w:szCs w:val="20"/>
              </w:rPr>
            </w:pPr>
            <w:r w:rsidRPr="00FC76DD">
              <w:rPr>
                <w:rFonts w:eastAsia="Times New Roman" w:cs="Calibri Light"/>
                <w:sz w:val="18"/>
                <w:szCs w:val="18"/>
              </w:rPr>
              <w:t>$33.78</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41FE2163" w14:textId="21012EE9" w:rsidR="00340CB4" w:rsidRDefault="00340CB4">
            <w:pPr>
              <w:jc w:val="center"/>
              <w:rPr>
                <w:rFonts w:eastAsia="Times New Roman" w:cs="Calibri Light"/>
                <w:b/>
                <w:bCs/>
                <w:sz w:val="20"/>
                <w:szCs w:val="20"/>
              </w:rPr>
            </w:pPr>
            <w:r w:rsidRPr="00E51366">
              <w:rPr>
                <w:rFonts w:eastAsia="Times New Roman" w:cs="Calibri Light"/>
                <w:sz w:val="18"/>
                <w:szCs w:val="18"/>
              </w:rPr>
              <w:t>$</w:t>
            </w:r>
            <w:r>
              <w:rPr>
                <w:rFonts w:eastAsia="Times New Roman" w:cs="Calibri Light"/>
                <w:sz w:val="18"/>
                <w:szCs w:val="18"/>
              </w:rPr>
              <w:t>0</w:t>
            </w:r>
            <w:r w:rsidRPr="00E51366">
              <w:rPr>
                <w:rFonts w:eastAsia="Times New Roman" w:cs="Calibri Light"/>
                <w:sz w:val="18"/>
                <w:szCs w:val="18"/>
              </w:rPr>
              <w:t>.00</w:t>
            </w: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14:paraId="4D53B3B2" w14:textId="5036153F" w:rsidR="00340CB4" w:rsidRPr="00AD642E" w:rsidRDefault="00340CB4">
            <w:pPr>
              <w:jc w:val="center"/>
              <w:rPr>
                <w:rFonts w:asciiTheme="majorHAnsi" w:eastAsia="Times New Roman" w:hAnsiTheme="majorHAnsi" w:cstheme="majorHAnsi"/>
                <w:b/>
                <w:bCs/>
                <w:sz w:val="18"/>
                <w:szCs w:val="18"/>
              </w:rPr>
            </w:pPr>
            <w:r w:rsidRPr="00AD642E">
              <w:rPr>
                <w:rFonts w:asciiTheme="majorHAnsi" w:hAnsiTheme="majorHAnsi" w:cstheme="majorHAnsi"/>
                <w:color w:val="000000"/>
                <w:sz w:val="18"/>
                <w:szCs w:val="18"/>
              </w:rPr>
              <w:t>$33.78</w:t>
            </w:r>
          </w:p>
        </w:tc>
      </w:tr>
      <w:tr w:rsidR="00340CB4" w:rsidRPr="00AF1AC2" w14:paraId="06887656" w14:textId="77777777" w:rsidTr="00AD642E">
        <w:trPr>
          <w:trHeight w:val="469"/>
        </w:trPr>
        <w:tc>
          <w:tcPr>
            <w:tcW w:w="37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143909" w14:textId="3A1E6049" w:rsidR="00340CB4" w:rsidRDefault="00340CB4" w:rsidP="00340CB4">
            <w:pPr>
              <w:jc w:val="both"/>
              <w:rPr>
                <w:rFonts w:eastAsia="Times New Roman" w:cs="Calibri Light"/>
                <w:b/>
                <w:bCs/>
                <w:sz w:val="20"/>
                <w:szCs w:val="20"/>
              </w:rPr>
            </w:pPr>
            <w:r>
              <w:rPr>
                <w:rFonts w:eastAsia="Times New Roman" w:cs="Calibri Light"/>
                <w:sz w:val="18"/>
                <w:szCs w:val="18"/>
              </w:rPr>
              <w:t xml:space="preserve">Repair </w:t>
            </w:r>
            <w:r w:rsidRPr="00FC76DD">
              <w:rPr>
                <w:rFonts w:eastAsia="Times New Roman" w:cs="Calibri Light"/>
                <w:sz w:val="18"/>
                <w:szCs w:val="18"/>
              </w:rPr>
              <w:t>5/8in thick Dry Wall</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1DCCFC2" w14:textId="2CBCF68D" w:rsidR="00340CB4" w:rsidRDefault="00340CB4">
            <w:pPr>
              <w:jc w:val="center"/>
              <w:rPr>
                <w:rFonts w:eastAsia="Times New Roman" w:cs="Calibri Light"/>
                <w:b/>
                <w:bCs/>
                <w:sz w:val="20"/>
                <w:szCs w:val="20"/>
              </w:rPr>
            </w:pPr>
            <w:r w:rsidRPr="00FC76DD">
              <w:rPr>
                <w:rFonts w:eastAsia="Times New Roman" w:cs="Calibri Light"/>
                <w:sz w:val="18"/>
                <w:szCs w:val="18"/>
              </w:rPr>
              <w:t>0.081</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4F1B15E0" w14:textId="684B4BB9" w:rsidR="00340CB4" w:rsidRDefault="00340CB4">
            <w:pPr>
              <w:jc w:val="center"/>
              <w:rPr>
                <w:rFonts w:eastAsia="Times New Roman" w:cs="Calibri Light"/>
                <w:b/>
                <w:bCs/>
                <w:sz w:val="20"/>
                <w:szCs w:val="20"/>
              </w:rPr>
            </w:pPr>
            <w:r w:rsidRPr="00FC76DD">
              <w:rPr>
                <w:rFonts w:eastAsia="Times New Roman" w:cs="Calibri Light"/>
                <w:sz w:val="18"/>
                <w:szCs w:val="18"/>
              </w:rPr>
              <w:t>$45.45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5D230864" w14:textId="2BA4E382" w:rsidR="00340CB4" w:rsidRDefault="00340CB4">
            <w:pPr>
              <w:jc w:val="center"/>
              <w:rPr>
                <w:rFonts w:eastAsia="Times New Roman" w:cs="Calibri Light"/>
                <w:b/>
                <w:bCs/>
                <w:sz w:val="20"/>
                <w:szCs w:val="20"/>
              </w:rPr>
            </w:pPr>
            <w:r w:rsidRPr="00FC76DD">
              <w:rPr>
                <w:rFonts w:eastAsia="Times New Roman" w:cs="Calibri Light"/>
                <w:sz w:val="18"/>
                <w:szCs w:val="18"/>
              </w:rPr>
              <w:t>$3.68</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2405D240" w14:textId="60FAF318" w:rsidR="00340CB4" w:rsidRDefault="00340CB4">
            <w:pPr>
              <w:jc w:val="center"/>
              <w:rPr>
                <w:rFonts w:eastAsia="Times New Roman" w:cs="Calibri Light"/>
                <w:b/>
                <w:bCs/>
                <w:sz w:val="20"/>
                <w:szCs w:val="20"/>
              </w:rPr>
            </w:pPr>
            <w:r>
              <w:rPr>
                <w:rFonts w:eastAsia="Times New Roman" w:cs="Calibri Light"/>
                <w:sz w:val="18"/>
                <w:szCs w:val="18"/>
              </w:rPr>
              <w:t>$13.47</w:t>
            </w: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14:paraId="0E5FA6A3" w14:textId="45D9DFD0" w:rsidR="00340CB4" w:rsidRPr="00AD642E" w:rsidRDefault="00340CB4">
            <w:pPr>
              <w:jc w:val="center"/>
              <w:rPr>
                <w:rFonts w:asciiTheme="majorHAnsi" w:eastAsia="Times New Roman" w:hAnsiTheme="majorHAnsi" w:cstheme="majorHAnsi"/>
                <w:b/>
                <w:bCs/>
                <w:sz w:val="18"/>
                <w:szCs w:val="18"/>
              </w:rPr>
            </w:pPr>
            <w:r w:rsidRPr="00AD642E">
              <w:rPr>
                <w:rFonts w:asciiTheme="majorHAnsi" w:hAnsiTheme="majorHAnsi" w:cstheme="majorHAnsi"/>
                <w:color w:val="000000"/>
                <w:sz w:val="18"/>
                <w:szCs w:val="18"/>
              </w:rPr>
              <w:t>$17.15</w:t>
            </w:r>
          </w:p>
        </w:tc>
      </w:tr>
      <w:tr w:rsidR="00340CB4" w:rsidRPr="00AF1AC2" w14:paraId="5AE0BDDC" w14:textId="77777777" w:rsidTr="00AD642E">
        <w:trPr>
          <w:trHeight w:val="469"/>
        </w:trPr>
        <w:tc>
          <w:tcPr>
            <w:tcW w:w="37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58B5A" w14:textId="2756FE9C" w:rsidR="00340CB4" w:rsidRDefault="00340CB4" w:rsidP="00340CB4">
            <w:pPr>
              <w:jc w:val="both"/>
              <w:rPr>
                <w:rFonts w:eastAsia="Times New Roman" w:cs="Calibri Light"/>
                <w:b/>
                <w:bCs/>
                <w:sz w:val="20"/>
                <w:szCs w:val="20"/>
              </w:rPr>
            </w:pPr>
            <w:r w:rsidRPr="00FC76DD">
              <w:rPr>
                <w:rFonts w:eastAsia="Times New Roman" w:cs="Calibri Light"/>
                <w:sz w:val="18"/>
                <w:szCs w:val="18"/>
              </w:rPr>
              <w:t>Paint Interior Wall 1 Coat, Smooth Finish with Roller</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7FFB40A" w14:textId="6FB8A9E5" w:rsidR="00340CB4" w:rsidRDefault="00340CB4">
            <w:pPr>
              <w:jc w:val="center"/>
              <w:rPr>
                <w:rFonts w:eastAsia="Times New Roman" w:cs="Calibri Light"/>
                <w:b/>
                <w:bCs/>
                <w:sz w:val="20"/>
                <w:szCs w:val="20"/>
              </w:rPr>
            </w:pPr>
            <w:r w:rsidRPr="00FC76DD">
              <w:rPr>
                <w:rFonts w:eastAsia="Times New Roman" w:cs="Calibri Light"/>
                <w:sz w:val="18"/>
                <w:szCs w:val="18"/>
              </w:rPr>
              <w:t>0.054</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27AAD440" w14:textId="1A5AB4D3" w:rsidR="00340CB4" w:rsidRDefault="00340CB4">
            <w:pPr>
              <w:jc w:val="center"/>
              <w:rPr>
                <w:rFonts w:eastAsia="Times New Roman" w:cs="Calibri Light"/>
                <w:b/>
                <w:bCs/>
                <w:sz w:val="20"/>
                <w:szCs w:val="20"/>
              </w:rPr>
            </w:pPr>
            <w:r w:rsidRPr="00FC76DD">
              <w:rPr>
                <w:rFonts w:eastAsia="Times New Roman" w:cs="Calibri Light"/>
                <w:sz w:val="18"/>
                <w:szCs w:val="18"/>
              </w:rPr>
              <w:t>$45.45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5F9D7563" w14:textId="24D7B53B" w:rsidR="00340CB4" w:rsidRDefault="00340CB4">
            <w:pPr>
              <w:jc w:val="center"/>
              <w:rPr>
                <w:rFonts w:eastAsia="Times New Roman" w:cs="Calibri Light"/>
                <w:b/>
                <w:bCs/>
                <w:sz w:val="20"/>
                <w:szCs w:val="20"/>
              </w:rPr>
            </w:pPr>
            <w:r w:rsidRPr="00FC76DD">
              <w:rPr>
                <w:rFonts w:eastAsia="Times New Roman" w:cs="Calibri Light"/>
                <w:sz w:val="18"/>
                <w:szCs w:val="18"/>
              </w:rPr>
              <w:t>$2.45</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36AD4483" w14:textId="62FFDDA8" w:rsidR="00340CB4" w:rsidRDefault="00340CB4">
            <w:pPr>
              <w:jc w:val="center"/>
              <w:rPr>
                <w:rFonts w:eastAsia="Times New Roman" w:cs="Calibri Light"/>
                <w:b/>
                <w:bCs/>
                <w:sz w:val="20"/>
                <w:szCs w:val="20"/>
              </w:rPr>
            </w:pPr>
            <w:r w:rsidRPr="00E51366">
              <w:rPr>
                <w:rFonts w:eastAsia="Times New Roman" w:cs="Calibri Light"/>
                <w:sz w:val="18"/>
                <w:szCs w:val="18"/>
              </w:rPr>
              <w:t>$</w:t>
            </w:r>
            <w:r>
              <w:rPr>
                <w:rFonts w:eastAsia="Times New Roman" w:cs="Calibri Light"/>
                <w:sz w:val="18"/>
                <w:szCs w:val="18"/>
              </w:rPr>
              <w:t>0</w:t>
            </w:r>
            <w:r w:rsidRPr="00E51366">
              <w:rPr>
                <w:rFonts w:eastAsia="Times New Roman" w:cs="Calibri Light"/>
                <w:sz w:val="18"/>
                <w:szCs w:val="18"/>
              </w:rPr>
              <w:t>.00</w:t>
            </w: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14:paraId="302A1E7F" w14:textId="526C04CE" w:rsidR="00340CB4" w:rsidRPr="00AD642E" w:rsidRDefault="00340CB4">
            <w:pPr>
              <w:jc w:val="center"/>
              <w:rPr>
                <w:rFonts w:asciiTheme="majorHAnsi" w:eastAsia="Times New Roman" w:hAnsiTheme="majorHAnsi" w:cstheme="majorHAnsi"/>
                <w:b/>
                <w:bCs/>
                <w:sz w:val="18"/>
                <w:szCs w:val="18"/>
              </w:rPr>
            </w:pPr>
            <w:r w:rsidRPr="00AD642E">
              <w:rPr>
                <w:rFonts w:asciiTheme="majorHAnsi" w:hAnsiTheme="majorHAnsi" w:cstheme="majorHAnsi"/>
                <w:color w:val="000000"/>
                <w:sz w:val="18"/>
                <w:szCs w:val="18"/>
              </w:rPr>
              <w:t>$2.45</w:t>
            </w:r>
          </w:p>
        </w:tc>
      </w:tr>
      <w:tr w:rsidR="005335B3" w:rsidRPr="00DD52BE" w14:paraId="64905A9D" w14:textId="77777777" w:rsidTr="00AD642E">
        <w:trPr>
          <w:trHeight w:val="469"/>
        </w:trPr>
        <w:tc>
          <w:tcPr>
            <w:tcW w:w="37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BD8D6D2" w14:textId="77777777" w:rsidR="005335B3" w:rsidRPr="00E51366" w:rsidRDefault="005335B3" w:rsidP="005335B3">
            <w:pPr>
              <w:jc w:val="both"/>
              <w:rPr>
                <w:rFonts w:eastAsia="Times New Roman" w:cs="Calibri Light"/>
                <w:sz w:val="18"/>
                <w:szCs w:val="18"/>
              </w:rPr>
            </w:pPr>
            <w:r w:rsidRPr="00E51366">
              <w:rPr>
                <w:rFonts w:eastAsia="Times New Roman" w:cs="Calibri Light"/>
                <w:sz w:val="18"/>
                <w:szCs w:val="18"/>
              </w:rPr>
              <w:t>Cap Existing Gas Line w/ Brass Plug for Natural Gas Lines</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B5F741" w14:textId="77777777" w:rsidR="005335B3" w:rsidRPr="00E51366" w:rsidRDefault="005335B3">
            <w:pPr>
              <w:jc w:val="center"/>
              <w:rPr>
                <w:rFonts w:eastAsia="Times New Roman" w:cs="Calibri Light"/>
                <w:sz w:val="18"/>
                <w:szCs w:val="18"/>
              </w:rPr>
            </w:pPr>
            <w:r w:rsidRPr="00E51366">
              <w:rPr>
                <w:rFonts w:eastAsia="Times New Roman" w:cs="Calibri Light"/>
                <w:sz w:val="18"/>
                <w:szCs w:val="18"/>
              </w:rPr>
              <w:t>0.250</w:t>
            </w:r>
          </w:p>
        </w:tc>
        <w:tc>
          <w:tcPr>
            <w:tcW w:w="11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DB3E99" w14:textId="77777777" w:rsidR="005335B3" w:rsidRPr="00E51366" w:rsidRDefault="005335B3">
            <w:pPr>
              <w:jc w:val="center"/>
              <w:rPr>
                <w:rFonts w:eastAsia="Times New Roman" w:cs="Calibri Light"/>
                <w:sz w:val="18"/>
                <w:szCs w:val="18"/>
              </w:rPr>
            </w:pPr>
            <w:r w:rsidRPr="00E51366">
              <w:rPr>
                <w:rFonts w:eastAsia="Times New Roman" w:cs="Calibri Light"/>
                <w:sz w:val="18"/>
                <w:szCs w:val="18"/>
              </w:rPr>
              <w:t>$67.55</w:t>
            </w:r>
          </w:p>
        </w:tc>
        <w:tc>
          <w:tcPr>
            <w:tcW w:w="9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D4015" w14:textId="77777777" w:rsidR="005335B3" w:rsidRPr="00E51366" w:rsidRDefault="005335B3">
            <w:pPr>
              <w:jc w:val="center"/>
              <w:rPr>
                <w:rFonts w:eastAsia="Times New Roman" w:cs="Calibri Light"/>
                <w:sz w:val="18"/>
                <w:szCs w:val="18"/>
              </w:rPr>
            </w:pPr>
            <w:r w:rsidRPr="00E51366">
              <w:rPr>
                <w:rFonts w:eastAsia="Times New Roman" w:cs="Calibri Light"/>
                <w:sz w:val="18"/>
                <w:szCs w:val="18"/>
              </w:rPr>
              <w:t>$16.89</w:t>
            </w:r>
          </w:p>
        </w:tc>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9050EE" w14:textId="77777777" w:rsidR="005335B3" w:rsidRPr="00E51366" w:rsidRDefault="005335B3">
            <w:pPr>
              <w:jc w:val="center"/>
              <w:rPr>
                <w:rFonts w:eastAsia="Times New Roman" w:cs="Calibri Light"/>
                <w:sz w:val="18"/>
                <w:szCs w:val="18"/>
              </w:rPr>
            </w:pPr>
            <w:r w:rsidRPr="00E51366">
              <w:rPr>
                <w:rFonts w:eastAsia="Times New Roman" w:cs="Calibri Light"/>
                <w:sz w:val="18"/>
                <w:szCs w:val="18"/>
              </w:rPr>
              <w:t>$4.00</w:t>
            </w:r>
          </w:p>
        </w:tc>
        <w:tc>
          <w:tcPr>
            <w:tcW w:w="10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D7223" w14:textId="77777777" w:rsidR="005335B3" w:rsidRPr="00E51366" w:rsidRDefault="005335B3">
            <w:pPr>
              <w:jc w:val="center"/>
              <w:rPr>
                <w:rFonts w:eastAsia="Times New Roman" w:cs="Calibri Light"/>
                <w:sz w:val="18"/>
                <w:szCs w:val="18"/>
              </w:rPr>
            </w:pPr>
            <w:r w:rsidRPr="00E51366">
              <w:rPr>
                <w:rFonts w:eastAsia="Times New Roman" w:cs="Calibri Light"/>
                <w:sz w:val="18"/>
                <w:szCs w:val="18"/>
              </w:rPr>
              <w:t>$20.89</w:t>
            </w:r>
          </w:p>
        </w:tc>
      </w:tr>
      <w:tr w:rsidR="005335B3" w:rsidRPr="00DD52BE" w14:paraId="6F748CE9" w14:textId="77777777" w:rsidTr="00AD642E">
        <w:trPr>
          <w:trHeight w:val="469"/>
        </w:trPr>
        <w:tc>
          <w:tcPr>
            <w:tcW w:w="37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0F13831" w14:textId="77777777" w:rsidR="005335B3" w:rsidRPr="00E51366" w:rsidRDefault="005335B3" w:rsidP="005335B3">
            <w:pPr>
              <w:jc w:val="both"/>
              <w:rPr>
                <w:rFonts w:eastAsia="Times New Roman" w:cs="Calibri Light"/>
                <w:sz w:val="18"/>
                <w:szCs w:val="18"/>
              </w:rPr>
            </w:pPr>
            <w:r w:rsidRPr="00E51366">
              <w:rPr>
                <w:rFonts w:eastAsia="Times New Roman" w:cs="Calibri Light"/>
                <w:sz w:val="18"/>
                <w:szCs w:val="18"/>
              </w:rPr>
              <w:t>Mini-Split Heat Pump hook-up, 1-40 &amp; 1-100 amp 2 pole circuit breaker, 40’ of #8/2 &amp; 30’ of #3/2</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056CA5" w14:textId="77777777" w:rsidR="005335B3" w:rsidRPr="00E51366" w:rsidRDefault="005335B3">
            <w:pPr>
              <w:jc w:val="center"/>
              <w:rPr>
                <w:rFonts w:eastAsia="Times New Roman" w:cs="Calibri Light"/>
                <w:sz w:val="18"/>
                <w:szCs w:val="18"/>
              </w:rPr>
            </w:pPr>
            <w:r w:rsidRPr="00E51366">
              <w:rPr>
                <w:rFonts w:eastAsia="Times New Roman" w:cs="Calibri Light"/>
                <w:sz w:val="18"/>
                <w:szCs w:val="18"/>
              </w:rPr>
              <w:t>7.404</w:t>
            </w:r>
          </w:p>
        </w:tc>
        <w:tc>
          <w:tcPr>
            <w:tcW w:w="11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25BC4D" w14:textId="77777777" w:rsidR="005335B3" w:rsidRPr="00E51366" w:rsidRDefault="005335B3">
            <w:pPr>
              <w:jc w:val="center"/>
              <w:rPr>
                <w:rFonts w:eastAsia="Times New Roman" w:cs="Calibri Light"/>
                <w:sz w:val="18"/>
                <w:szCs w:val="18"/>
              </w:rPr>
            </w:pPr>
            <w:r w:rsidRPr="00E51366">
              <w:rPr>
                <w:rFonts w:eastAsia="Times New Roman" w:cs="Calibri Light"/>
                <w:sz w:val="18"/>
                <w:szCs w:val="18"/>
              </w:rPr>
              <w:t>$67.55</w:t>
            </w:r>
          </w:p>
        </w:tc>
        <w:tc>
          <w:tcPr>
            <w:tcW w:w="9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B59EF3" w14:textId="77777777" w:rsidR="005335B3" w:rsidRPr="00E51366" w:rsidRDefault="005335B3">
            <w:pPr>
              <w:jc w:val="center"/>
              <w:rPr>
                <w:rFonts w:eastAsia="Times New Roman" w:cs="Calibri Light"/>
                <w:sz w:val="18"/>
                <w:szCs w:val="18"/>
              </w:rPr>
            </w:pPr>
            <w:r w:rsidRPr="00E51366">
              <w:rPr>
                <w:rFonts w:eastAsia="Times New Roman" w:cs="Calibri Light"/>
                <w:sz w:val="18"/>
                <w:szCs w:val="18"/>
              </w:rPr>
              <w:t>$500.14</w:t>
            </w:r>
          </w:p>
        </w:tc>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9FCD56" w14:textId="77777777" w:rsidR="005335B3" w:rsidRPr="00E51366" w:rsidRDefault="005335B3">
            <w:pPr>
              <w:jc w:val="center"/>
              <w:rPr>
                <w:rFonts w:eastAsia="Times New Roman" w:cs="Calibri Light"/>
                <w:sz w:val="18"/>
                <w:szCs w:val="18"/>
              </w:rPr>
            </w:pPr>
            <w:r w:rsidRPr="00E51366">
              <w:rPr>
                <w:rFonts w:eastAsia="Times New Roman" w:cs="Calibri Light"/>
                <w:sz w:val="18"/>
                <w:szCs w:val="18"/>
              </w:rPr>
              <w:t>$550.00</w:t>
            </w:r>
          </w:p>
        </w:tc>
        <w:tc>
          <w:tcPr>
            <w:tcW w:w="10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9515DD" w14:textId="77777777" w:rsidR="005335B3" w:rsidRPr="00E51366" w:rsidRDefault="005335B3">
            <w:pPr>
              <w:jc w:val="center"/>
              <w:rPr>
                <w:rFonts w:eastAsia="Times New Roman" w:cs="Calibri Light"/>
                <w:sz w:val="18"/>
                <w:szCs w:val="18"/>
              </w:rPr>
            </w:pPr>
            <w:r w:rsidRPr="00E51366">
              <w:rPr>
                <w:rFonts w:eastAsia="Times New Roman" w:cs="Calibri Light"/>
                <w:sz w:val="18"/>
                <w:szCs w:val="18"/>
              </w:rPr>
              <w:t>$1,050.14</w:t>
            </w:r>
          </w:p>
        </w:tc>
      </w:tr>
      <w:tr w:rsidR="00340CB4" w:rsidRPr="00DD52BE" w14:paraId="272CC579" w14:textId="77777777" w:rsidTr="00AD642E">
        <w:trPr>
          <w:trHeight w:val="469"/>
        </w:trPr>
        <w:tc>
          <w:tcPr>
            <w:tcW w:w="37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54EA760" w14:textId="77777777" w:rsidR="00340CB4" w:rsidRPr="00E51366" w:rsidRDefault="00340CB4" w:rsidP="00340CB4">
            <w:pPr>
              <w:jc w:val="both"/>
              <w:rPr>
                <w:rFonts w:eastAsia="Times New Roman" w:cs="Calibri Light"/>
                <w:sz w:val="18"/>
                <w:szCs w:val="18"/>
              </w:rPr>
            </w:pPr>
            <w:r w:rsidRPr="00E51366">
              <w:rPr>
                <w:rFonts w:eastAsia="Times New Roman" w:cs="Calibri Light"/>
                <w:sz w:val="18"/>
                <w:szCs w:val="18"/>
              </w:rPr>
              <w:t>Total cost</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77FAE6" w14:textId="2ED10E2F" w:rsidR="00340CB4" w:rsidRPr="00E51366" w:rsidRDefault="00340CB4">
            <w:pPr>
              <w:jc w:val="center"/>
              <w:rPr>
                <w:rFonts w:eastAsia="Times New Roman" w:cs="Calibri Light"/>
                <w:sz w:val="18"/>
                <w:szCs w:val="18"/>
              </w:rPr>
            </w:pPr>
          </w:p>
        </w:tc>
        <w:tc>
          <w:tcPr>
            <w:tcW w:w="11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E1080C" w14:textId="495EFC0E" w:rsidR="00340CB4" w:rsidRPr="00E51366" w:rsidRDefault="00340CB4">
            <w:pPr>
              <w:jc w:val="center"/>
              <w:rPr>
                <w:rFonts w:eastAsia="Times New Roman" w:cs="Calibri Light"/>
                <w:sz w:val="18"/>
                <w:szCs w:val="18"/>
              </w:rPr>
            </w:pPr>
          </w:p>
        </w:tc>
        <w:tc>
          <w:tcPr>
            <w:tcW w:w="9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FE7A91" w14:textId="2519FDD6" w:rsidR="00340CB4" w:rsidRPr="00AD642E" w:rsidRDefault="00340CB4">
            <w:pPr>
              <w:jc w:val="center"/>
              <w:rPr>
                <w:rFonts w:asciiTheme="majorHAnsi" w:eastAsia="Times New Roman" w:hAnsiTheme="majorHAnsi" w:cstheme="majorHAnsi"/>
                <w:sz w:val="18"/>
                <w:szCs w:val="18"/>
              </w:rPr>
            </w:pPr>
            <w:r w:rsidRPr="00AD642E">
              <w:rPr>
                <w:rFonts w:asciiTheme="majorHAnsi" w:hAnsiTheme="majorHAnsi" w:cstheme="majorHAnsi"/>
                <w:color w:val="000000"/>
                <w:sz w:val="18"/>
                <w:szCs w:val="18"/>
              </w:rPr>
              <w:t>$827.14</w:t>
            </w:r>
          </w:p>
        </w:tc>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B0EE15" w14:textId="712BCFA2" w:rsidR="00340CB4" w:rsidRPr="00AD642E" w:rsidRDefault="00340CB4">
            <w:pPr>
              <w:jc w:val="center"/>
              <w:rPr>
                <w:rFonts w:asciiTheme="majorHAnsi" w:eastAsia="Times New Roman" w:hAnsiTheme="majorHAnsi" w:cstheme="majorHAnsi"/>
                <w:sz w:val="18"/>
                <w:szCs w:val="18"/>
              </w:rPr>
            </w:pPr>
            <w:r w:rsidRPr="00AD642E">
              <w:rPr>
                <w:rFonts w:asciiTheme="majorHAnsi" w:hAnsiTheme="majorHAnsi" w:cstheme="majorHAnsi"/>
                <w:color w:val="000000"/>
                <w:sz w:val="18"/>
                <w:szCs w:val="18"/>
              </w:rPr>
              <w:t>$567.47</w:t>
            </w:r>
          </w:p>
        </w:tc>
        <w:tc>
          <w:tcPr>
            <w:tcW w:w="10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AA7A91" w14:textId="38C97256" w:rsidR="00340CB4" w:rsidRPr="00AD642E" w:rsidRDefault="00340CB4">
            <w:pPr>
              <w:jc w:val="center"/>
              <w:rPr>
                <w:rFonts w:asciiTheme="majorHAnsi" w:eastAsia="Times New Roman" w:hAnsiTheme="majorHAnsi" w:cstheme="majorHAnsi"/>
                <w:sz w:val="18"/>
                <w:szCs w:val="18"/>
              </w:rPr>
            </w:pPr>
            <w:r w:rsidRPr="00AD642E">
              <w:rPr>
                <w:rFonts w:asciiTheme="majorHAnsi" w:hAnsiTheme="majorHAnsi" w:cstheme="majorHAnsi"/>
                <w:color w:val="000000"/>
                <w:sz w:val="18"/>
                <w:szCs w:val="18"/>
              </w:rPr>
              <w:t>$1,394.61</w:t>
            </w:r>
          </w:p>
        </w:tc>
      </w:tr>
      <w:tr w:rsidR="00340CB4" w:rsidRPr="00DD52BE" w14:paraId="5069BC69" w14:textId="77777777" w:rsidTr="00AD642E">
        <w:trPr>
          <w:trHeight w:val="469"/>
        </w:trPr>
        <w:tc>
          <w:tcPr>
            <w:tcW w:w="37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4830E50" w14:textId="28A5FC2E" w:rsidR="00340CB4" w:rsidRPr="00E51366" w:rsidRDefault="00340CB4" w:rsidP="00340CB4">
            <w:pPr>
              <w:jc w:val="both"/>
              <w:rPr>
                <w:rFonts w:eastAsia="Times New Roman" w:cs="Calibri Light"/>
                <w:sz w:val="18"/>
                <w:szCs w:val="18"/>
              </w:rPr>
            </w:pPr>
            <w:r>
              <w:rPr>
                <w:rFonts w:eastAsia="Times New Roman" w:cs="Calibri Light"/>
                <w:sz w:val="18"/>
                <w:szCs w:val="18"/>
              </w:rPr>
              <w:t>Total Normalized Cost</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8DDFD" w14:textId="77777777" w:rsidR="00340CB4" w:rsidRPr="00E51366" w:rsidRDefault="00340CB4">
            <w:pPr>
              <w:jc w:val="center"/>
              <w:rPr>
                <w:rFonts w:eastAsia="Times New Roman" w:cs="Calibri Light"/>
                <w:sz w:val="18"/>
                <w:szCs w:val="18"/>
              </w:rPr>
            </w:pPr>
          </w:p>
        </w:tc>
        <w:tc>
          <w:tcPr>
            <w:tcW w:w="11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F92552" w14:textId="77777777" w:rsidR="00340CB4" w:rsidRPr="00E51366" w:rsidRDefault="00340CB4">
            <w:pPr>
              <w:jc w:val="center"/>
              <w:rPr>
                <w:rFonts w:eastAsia="Times New Roman" w:cs="Calibri Light"/>
                <w:sz w:val="18"/>
                <w:szCs w:val="18"/>
              </w:rPr>
            </w:pPr>
          </w:p>
        </w:tc>
        <w:tc>
          <w:tcPr>
            <w:tcW w:w="9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19C901" w14:textId="05F8E0DA" w:rsidR="00340CB4" w:rsidRPr="00AD642E" w:rsidRDefault="00340CB4">
            <w:pPr>
              <w:jc w:val="center"/>
              <w:rPr>
                <w:rFonts w:asciiTheme="majorHAnsi" w:eastAsia="Times New Roman" w:hAnsiTheme="majorHAnsi" w:cstheme="majorHAnsi"/>
                <w:sz w:val="18"/>
                <w:szCs w:val="18"/>
              </w:rPr>
            </w:pPr>
            <w:r w:rsidRPr="00AD642E">
              <w:rPr>
                <w:rFonts w:asciiTheme="majorHAnsi" w:hAnsiTheme="majorHAnsi" w:cstheme="majorHAnsi"/>
                <w:color w:val="000000"/>
                <w:sz w:val="18"/>
                <w:szCs w:val="18"/>
              </w:rPr>
              <w:t>$551.43</w:t>
            </w:r>
          </w:p>
        </w:tc>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40FBE9" w14:textId="37D6B468" w:rsidR="00340CB4" w:rsidRPr="00AD642E" w:rsidRDefault="00340CB4">
            <w:pPr>
              <w:jc w:val="center"/>
              <w:rPr>
                <w:rFonts w:asciiTheme="majorHAnsi" w:eastAsia="Times New Roman" w:hAnsiTheme="majorHAnsi" w:cstheme="majorHAnsi"/>
                <w:sz w:val="18"/>
                <w:szCs w:val="18"/>
              </w:rPr>
            </w:pPr>
            <w:r w:rsidRPr="00AD642E">
              <w:rPr>
                <w:rFonts w:asciiTheme="majorHAnsi" w:hAnsiTheme="majorHAnsi" w:cstheme="majorHAnsi"/>
                <w:color w:val="000000"/>
                <w:sz w:val="18"/>
                <w:szCs w:val="18"/>
              </w:rPr>
              <w:t>$378.31</w:t>
            </w:r>
          </w:p>
        </w:tc>
        <w:tc>
          <w:tcPr>
            <w:tcW w:w="10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0CFD9A" w14:textId="42D3CFE0" w:rsidR="00340CB4" w:rsidRPr="00AD642E" w:rsidRDefault="00340CB4">
            <w:pPr>
              <w:jc w:val="center"/>
              <w:rPr>
                <w:rFonts w:asciiTheme="majorHAnsi" w:eastAsia="Times New Roman" w:hAnsiTheme="majorHAnsi" w:cstheme="majorHAnsi"/>
                <w:sz w:val="18"/>
                <w:szCs w:val="18"/>
              </w:rPr>
            </w:pPr>
            <w:r w:rsidRPr="00AD642E">
              <w:rPr>
                <w:rFonts w:asciiTheme="majorHAnsi" w:hAnsiTheme="majorHAnsi" w:cstheme="majorHAnsi"/>
                <w:color w:val="000000"/>
                <w:sz w:val="18"/>
                <w:szCs w:val="18"/>
              </w:rPr>
              <w:t>$929.74</w:t>
            </w:r>
          </w:p>
        </w:tc>
      </w:tr>
    </w:tbl>
    <w:p w14:paraId="5E9736B3" w14:textId="77777777" w:rsidR="00D039BD" w:rsidRPr="00C6243E" w:rsidRDefault="00D039BD" w:rsidP="00B13E72">
      <w:pPr>
        <w:pStyle w:val="NoSpacing"/>
        <w:jc w:val="both"/>
        <w:rPr>
          <w:rFonts w:ascii="Calibri Light" w:eastAsiaTheme="minorEastAsia" w:hAnsi="Calibri Light" w:cs="Calibri Light"/>
          <w:szCs w:val="24"/>
        </w:rPr>
      </w:pPr>
    </w:p>
    <w:p w14:paraId="0830BFBA" w14:textId="56BE9811" w:rsidR="00375BD8" w:rsidRPr="00C6243E" w:rsidRDefault="00375BD8" w:rsidP="00B13E72">
      <w:pPr>
        <w:pStyle w:val="eTRMHeading3"/>
        <w:jc w:val="both"/>
        <w:rPr>
          <w:rFonts w:cs="Calibri Light"/>
        </w:rPr>
      </w:pPr>
      <w:bookmarkStart w:id="63" w:name="_Toc64561071"/>
      <w:r w:rsidRPr="00A605C9">
        <w:rPr>
          <w:rFonts w:cs="Calibri Light"/>
        </w:rPr>
        <w:t>Base Case Labor Cost ($/unit)</w:t>
      </w:r>
      <w:bookmarkEnd w:id="60"/>
      <w:bookmarkEnd w:id="61"/>
      <w:bookmarkEnd w:id="63"/>
    </w:p>
    <w:p w14:paraId="02CBF7A7" w14:textId="23342A15" w:rsidR="008A3AF0" w:rsidRDefault="008B3E65" w:rsidP="008A3AF0">
      <w:pPr>
        <w:pStyle w:val="Normal1"/>
        <w:jc w:val="both"/>
        <w:rPr>
          <w:rFonts w:ascii="Calibri Light" w:eastAsiaTheme="minorEastAsia" w:hAnsi="Calibri Light" w:cs="Calibri Light"/>
          <w:color w:val="auto"/>
          <w:szCs w:val="24"/>
        </w:rPr>
      </w:pPr>
      <w:r>
        <w:rPr>
          <w:rFonts w:ascii="Calibri Light" w:hAnsi="Calibri Light"/>
        </w:rPr>
        <w:t>Labor cost was found from RS Means online database (2019)</w:t>
      </w:r>
      <w:r>
        <w:rPr>
          <w:rStyle w:val="FootnoteReference"/>
          <w:rFonts w:ascii="Calibri Light" w:hAnsi="Calibri Light"/>
        </w:rPr>
        <w:footnoteReference w:id="27"/>
      </w:r>
      <w:r>
        <w:rPr>
          <w:rFonts w:ascii="Calibri Light" w:hAnsi="Calibri Light"/>
        </w:rPr>
        <w:t xml:space="preserve">. </w:t>
      </w:r>
      <w:r w:rsidR="008A3AF0">
        <w:rPr>
          <w:rFonts w:ascii="Calibri Light" w:hAnsi="Calibri Light"/>
        </w:rPr>
        <w:t>RSMeans hourly labor rates for a residential electrician</w:t>
      </w:r>
      <w:r w:rsidR="008A3AF0">
        <w:rPr>
          <w:rStyle w:val="FootnoteReference"/>
          <w:rFonts w:ascii="Calibri Light" w:hAnsi="Calibri Light"/>
        </w:rPr>
        <w:footnoteReference w:id="28"/>
      </w:r>
      <w:r w:rsidR="008A3AF0">
        <w:rPr>
          <w:rFonts w:ascii="Calibri Light" w:hAnsi="Calibri Light"/>
        </w:rPr>
        <w:t xml:space="preserve"> were used to estimate labor costs.  </w:t>
      </w:r>
      <w:r>
        <w:rPr>
          <w:rFonts w:ascii="Calibri Light" w:hAnsi="Calibri Light"/>
        </w:rPr>
        <w:t xml:space="preserve">All </w:t>
      </w:r>
      <w:r w:rsidR="008A3AF0">
        <w:rPr>
          <w:rFonts w:ascii="Calibri Light" w:hAnsi="Calibri Light"/>
        </w:rPr>
        <w:t>costing</w:t>
      </w:r>
      <w:r>
        <w:rPr>
          <w:rFonts w:ascii="Calibri Light" w:hAnsi="Calibri Light"/>
        </w:rPr>
        <w:t xml:space="preserve"> included a range of labor hours</w:t>
      </w:r>
      <w:r w:rsidR="003224F3">
        <w:rPr>
          <w:rFonts w:ascii="Calibri Light" w:hAnsi="Calibri Light"/>
        </w:rPr>
        <w:t xml:space="preserve"> based on its size</w:t>
      </w:r>
      <w:r>
        <w:rPr>
          <w:rFonts w:ascii="Calibri Light" w:hAnsi="Calibri Light"/>
        </w:rPr>
        <w:t xml:space="preserve">, thus the average labor hours per </w:t>
      </w:r>
      <w:r w:rsidR="005F76E0">
        <w:rPr>
          <w:rFonts w:ascii="Calibri Light" w:hAnsi="Calibri Light"/>
        </w:rPr>
        <w:t xml:space="preserve">equipment </w:t>
      </w:r>
      <w:r>
        <w:rPr>
          <w:rFonts w:ascii="Calibri Light" w:hAnsi="Calibri Light"/>
        </w:rPr>
        <w:t xml:space="preserve">was selected. </w:t>
      </w:r>
      <w:r w:rsidR="008A3AF0">
        <w:rPr>
          <w:rFonts w:ascii="Calibri Light" w:hAnsi="Calibri Light"/>
        </w:rPr>
        <w:t xml:space="preserve">Similar to the base equipment costs the furnace </w:t>
      </w:r>
      <w:r w:rsidR="00004D90">
        <w:rPr>
          <w:rFonts w:ascii="Calibri Light" w:hAnsi="Calibri Light"/>
        </w:rPr>
        <w:t xml:space="preserve">and </w:t>
      </w:r>
      <w:r w:rsidR="008A3AF0">
        <w:rPr>
          <w:rFonts w:ascii="Calibri Light" w:eastAsiaTheme="minorEastAsia" w:hAnsi="Calibri Light" w:cs="Calibri Light"/>
          <w:color w:val="auto"/>
          <w:szCs w:val="24"/>
        </w:rPr>
        <w:t xml:space="preserve">window air conditioner costs were normalized </w:t>
      </w:r>
      <w:r w:rsidR="00BD007D">
        <w:rPr>
          <w:rFonts w:ascii="Calibri Light" w:eastAsiaTheme="minorEastAsia" w:hAnsi="Calibri Light" w:cs="Calibri Light"/>
          <w:color w:val="auto"/>
          <w:szCs w:val="24"/>
        </w:rPr>
        <w:t>based on a midpoint system size of the window air conditioner which was found to be 1.5 tons</w:t>
      </w:r>
      <w:r w:rsidR="008A3AF0">
        <w:rPr>
          <w:rFonts w:ascii="Calibri Light" w:eastAsiaTheme="minorEastAsia" w:hAnsi="Calibri Light" w:cs="Calibri Light"/>
          <w:color w:val="auto"/>
          <w:szCs w:val="24"/>
        </w:rPr>
        <w:t xml:space="preserve">. </w:t>
      </w:r>
      <w:r w:rsidR="00001176">
        <w:rPr>
          <w:rFonts w:ascii="Calibri Light" w:hAnsi="Calibri Light" w:cs="Calibri Light"/>
        </w:rPr>
        <w:t>See cost calculations for more details.</w:t>
      </w:r>
      <w:r w:rsidR="00001176">
        <w:rPr>
          <w:rStyle w:val="FootnoteReference"/>
          <w:rFonts w:ascii="Calibri Light" w:hAnsi="Calibri Light" w:cs="Calibri Light"/>
        </w:rPr>
        <w:footnoteReference w:id="29"/>
      </w:r>
    </w:p>
    <w:p w14:paraId="6E0F996D" w14:textId="77A3C847" w:rsidR="00E00D76" w:rsidRDefault="00E00D76">
      <w:pPr>
        <w:spacing w:before="0" w:after="160" w:line="259" w:lineRule="auto"/>
        <w:rPr>
          <w:rFonts w:eastAsiaTheme="minorHAnsi"/>
          <w:szCs w:val="22"/>
        </w:rPr>
      </w:pPr>
      <w:r>
        <w:br w:type="page"/>
      </w:r>
    </w:p>
    <w:p w14:paraId="614756B5" w14:textId="77777777" w:rsidR="002A49D0" w:rsidRDefault="002A49D0" w:rsidP="00B13E72">
      <w:pPr>
        <w:pStyle w:val="NoSpacing"/>
        <w:jc w:val="both"/>
        <w:rPr>
          <w:rFonts w:ascii="Calibri Light" w:hAnsi="Calibri Ligh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1434"/>
        <w:gridCol w:w="1243"/>
        <w:gridCol w:w="1277"/>
        <w:gridCol w:w="1666"/>
        <w:gridCol w:w="1299"/>
      </w:tblGrid>
      <w:tr w:rsidR="008B3E65" w:rsidRPr="00AF1AC2" w14:paraId="15C7B58B" w14:textId="77777777" w:rsidTr="0002472B">
        <w:trPr>
          <w:trHeight w:val="566"/>
        </w:trPr>
        <w:tc>
          <w:tcPr>
            <w:tcW w:w="2431" w:type="dxa"/>
            <w:shd w:val="clear" w:color="auto" w:fill="D9D9D9" w:themeFill="background1" w:themeFillShade="D9"/>
            <w:noWrap/>
            <w:vAlign w:val="center"/>
            <w:hideMark/>
          </w:tcPr>
          <w:p w14:paraId="00AF85BD" w14:textId="59BD4DB2" w:rsidR="008B3E65" w:rsidRPr="00AF1AC2" w:rsidRDefault="008B3E65" w:rsidP="00FA4C03">
            <w:pPr>
              <w:rPr>
                <w:rFonts w:eastAsia="Times New Roman" w:cs="Calibri Light"/>
                <w:b/>
                <w:bCs/>
                <w:sz w:val="20"/>
                <w:szCs w:val="20"/>
              </w:rPr>
            </w:pPr>
            <w:r>
              <w:rPr>
                <w:rFonts w:eastAsia="Times New Roman" w:cs="Calibri Light"/>
                <w:b/>
                <w:bCs/>
                <w:sz w:val="20"/>
                <w:szCs w:val="20"/>
              </w:rPr>
              <w:t>Description</w:t>
            </w:r>
          </w:p>
        </w:tc>
        <w:tc>
          <w:tcPr>
            <w:tcW w:w="1434" w:type="dxa"/>
            <w:shd w:val="clear" w:color="auto" w:fill="D9D9D9" w:themeFill="background1" w:themeFillShade="D9"/>
            <w:vAlign w:val="center"/>
            <w:hideMark/>
          </w:tcPr>
          <w:p w14:paraId="68AA44A0" w14:textId="77777777" w:rsidR="008B3E65" w:rsidRPr="00AF1AC2" w:rsidRDefault="008B3E65" w:rsidP="00FA4C03">
            <w:pPr>
              <w:jc w:val="center"/>
              <w:rPr>
                <w:rFonts w:eastAsia="Times New Roman" w:cs="Calibri Light"/>
                <w:b/>
                <w:bCs/>
                <w:sz w:val="20"/>
                <w:szCs w:val="20"/>
              </w:rPr>
            </w:pPr>
            <w:r>
              <w:rPr>
                <w:rFonts w:eastAsia="Times New Roman" w:cs="Calibri Light"/>
                <w:b/>
                <w:bCs/>
                <w:sz w:val="20"/>
                <w:szCs w:val="20"/>
              </w:rPr>
              <w:t>Min Labor Hours</w:t>
            </w:r>
          </w:p>
        </w:tc>
        <w:tc>
          <w:tcPr>
            <w:tcW w:w="1243" w:type="dxa"/>
            <w:shd w:val="clear" w:color="auto" w:fill="D9D9D9" w:themeFill="background1" w:themeFillShade="D9"/>
            <w:vAlign w:val="center"/>
          </w:tcPr>
          <w:p w14:paraId="6717AB54" w14:textId="77777777" w:rsidR="008B3E65" w:rsidDel="00A942CA" w:rsidRDefault="008B3E65" w:rsidP="00FA4C03">
            <w:pPr>
              <w:jc w:val="center"/>
              <w:rPr>
                <w:rFonts w:eastAsia="Times New Roman" w:cs="Calibri Light"/>
                <w:b/>
                <w:bCs/>
                <w:sz w:val="20"/>
                <w:szCs w:val="20"/>
              </w:rPr>
            </w:pPr>
            <w:r>
              <w:rPr>
                <w:rFonts w:eastAsia="Times New Roman" w:cs="Calibri Light"/>
                <w:b/>
                <w:bCs/>
                <w:sz w:val="20"/>
                <w:szCs w:val="20"/>
              </w:rPr>
              <w:t>Max Labor Hours</w:t>
            </w:r>
          </w:p>
        </w:tc>
        <w:tc>
          <w:tcPr>
            <w:tcW w:w="1277" w:type="dxa"/>
            <w:shd w:val="clear" w:color="auto" w:fill="D9D9D9" w:themeFill="background1" w:themeFillShade="D9"/>
            <w:vAlign w:val="center"/>
          </w:tcPr>
          <w:p w14:paraId="1214AED4" w14:textId="77777777" w:rsidR="008B3E65" w:rsidRDefault="008B3E65" w:rsidP="00FA4C03">
            <w:pPr>
              <w:jc w:val="center"/>
              <w:rPr>
                <w:rFonts w:eastAsia="Times New Roman" w:cs="Calibri Light"/>
                <w:b/>
                <w:bCs/>
                <w:sz w:val="20"/>
                <w:szCs w:val="20"/>
              </w:rPr>
            </w:pPr>
            <w:r>
              <w:rPr>
                <w:rFonts w:eastAsia="Times New Roman" w:cs="Calibri Light"/>
                <w:b/>
                <w:bCs/>
                <w:sz w:val="20"/>
                <w:szCs w:val="20"/>
              </w:rPr>
              <w:t>Average Labor Hours</w:t>
            </w:r>
          </w:p>
        </w:tc>
        <w:tc>
          <w:tcPr>
            <w:tcW w:w="1666" w:type="dxa"/>
            <w:shd w:val="clear" w:color="auto" w:fill="D9D9D9" w:themeFill="background1" w:themeFillShade="D9"/>
            <w:vAlign w:val="center"/>
          </w:tcPr>
          <w:p w14:paraId="3E83B16A" w14:textId="77777777" w:rsidR="008B3E65" w:rsidRDefault="008B3E65" w:rsidP="00FA4C03">
            <w:pPr>
              <w:jc w:val="center"/>
              <w:rPr>
                <w:rFonts w:eastAsia="Times New Roman" w:cs="Calibri Light"/>
                <w:b/>
                <w:bCs/>
                <w:sz w:val="20"/>
                <w:szCs w:val="20"/>
              </w:rPr>
            </w:pPr>
            <w:r>
              <w:rPr>
                <w:rFonts w:eastAsia="Times New Roman" w:cs="Calibri Light"/>
                <w:b/>
                <w:bCs/>
                <w:sz w:val="20"/>
                <w:szCs w:val="20"/>
              </w:rPr>
              <w:t>Residential Electrician Hourly Rate with O&amp;P</w:t>
            </w:r>
            <w:r>
              <w:rPr>
                <w:rStyle w:val="FootnoteReference"/>
                <w:rFonts w:eastAsia="Times New Roman" w:cs="Calibri Light"/>
                <w:b/>
                <w:bCs/>
                <w:sz w:val="20"/>
                <w:szCs w:val="20"/>
              </w:rPr>
              <w:footnoteReference w:id="30"/>
            </w:r>
          </w:p>
        </w:tc>
        <w:tc>
          <w:tcPr>
            <w:tcW w:w="1299" w:type="dxa"/>
            <w:shd w:val="clear" w:color="auto" w:fill="D9D9D9" w:themeFill="background1" w:themeFillShade="D9"/>
            <w:vAlign w:val="center"/>
          </w:tcPr>
          <w:p w14:paraId="5D3A0466" w14:textId="77777777" w:rsidR="008B3E65" w:rsidRDefault="008B3E65" w:rsidP="00FA4C03">
            <w:pPr>
              <w:jc w:val="center"/>
              <w:rPr>
                <w:rFonts w:eastAsia="Times New Roman" w:cs="Calibri Light"/>
                <w:b/>
                <w:bCs/>
                <w:sz w:val="20"/>
                <w:szCs w:val="20"/>
              </w:rPr>
            </w:pPr>
            <w:r>
              <w:rPr>
                <w:rFonts w:eastAsia="Times New Roman" w:cs="Calibri Light"/>
                <w:b/>
                <w:bCs/>
                <w:sz w:val="20"/>
                <w:szCs w:val="20"/>
              </w:rPr>
              <w:t>Total Labor Cost</w:t>
            </w:r>
          </w:p>
        </w:tc>
      </w:tr>
      <w:tr w:rsidR="008B3E65" w:rsidRPr="00AF1AC2" w14:paraId="466B7EE4" w14:textId="77777777" w:rsidTr="0002472B">
        <w:trPr>
          <w:trHeight w:val="480"/>
        </w:trPr>
        <w:tc>
          <w:tcPr>
            <w:tcW w:w="2431" w:type="dxa"/>
            <w:shd w:val="clear" w:color="auto" w:fill="auto"/>
            <w:vAlign w:val="center"/>
          </w:tcPr>
          <w:p w14:paraId="298C4BF8" w14:textId="619ECE23" w:rsidR="008B3E65" w:rsidRPr="00744A5B" w:rsidRDefault="008B3E65" w:rsidP="00FA4C03">
            <w:pPr>
              <w:rPr>
                <w:rFonts w:eastAsia="Times New Roman" w:cs="Calibri Light"/>
                <w:sz w:val="18"/>
                <w:szCs w:val="18"/>
              </w:rPr>
            </w:pPr>
            <w:r>
              <w:rPr>
                <w:rFonts w:eastAsia="Times New Roman" w:cs="Calibri Light"/>
                <w:sz w:val="18"/>
                <w:szCs w:val="18"/>
              </w:rPr>
              <w:t>Wall Furnace</w:t>
            </w:r>
          </w:p>
        </w:tc>
        <w:tc>
          <w:tcPr>
            <w:tcW w:w="1434" w:type="dxa"/>
            <w:shd w:val="clear" w:color="auto" w:fill="auto"/>
            <w:noWrap/>
            <w:vAlign w:val="bottom"/>
          </w:tcPr>
          <w:p w14:paraId="064B44F6" w14:textId="2BFBFF10" w:rsidR="008B3E65" w:rsidRPr="00744A5B" w:rsidRDefault="003224F3" w:rsidP="00FA4C03">
            <w:pPr>
              <w:jc w:val="center"/>
              <w:rPr>
                <w:rFonts w:eastAsia="Times New Roman" w:cs="Calibri Light"/>
                <w:sz w:val="18"/>
                <w:szCs w:val="18"/>
              </w:rPr>
            </w:pPr>
            <w:r>
              <w:rPr>
                <w:rFonts w:eastAsia="Times New Roman" w:cs="Calibri Light"/>
                <w:sz w:val="18"/>
                <w:szCs w:val="18"/>
              </w:rPr>
              <w:t>2.462</w:t>
            </w:r>
          </w:p>
        </w:tc>
        <w:tc>
          <w:tcPr>
            <w:tcW w:w="1243" w:type="dxa"/>
            <w:vAlign w:val="bottom"/>
          </w:tcPr>
          <w:p w14:paraId="10A13902" w14:textId="49D80425" w:rsidR="008B3E65" w:rsidRPr="00744A5B" w:rsidRDefault="004A328A" w:rsidP="00FA4C03">
            <w:pPr>
              <w:jc w:val="center"/>
              <w:rPr>
                <w:rFonts w:eastAsia="Times New Roman" w:cs="Calibri Light"/>
                <w:sz w:val="18"/>
                <w:szCs w:val="18"/>
              </w:rPr>
            </w:pPr>
            <w:r>
              <w:rPr>
                <w:rFonts w:eastAsia="Times New Roman" w:cs="Calibri Light"/>
                <w:sz w:val="18"/>
                <w:szCs w:val="18"/>
              </w:rPr>
              <w:t>4.000</w:t>
            </w:r>
          </w:p>
        </w:tc>
        <w:tc>
          <w:tcPr>
            <w:tcW w:w="1277" w:type="dxa"/>
            <w:vAlign w:val="bottom"/>
          </w:tcPr>
          <w:p w14:paraId="1414B894" w14:textId="510A686D" w:rsidR="008B3E65" w:rsidRPr="00744A5B" w:rsidRDefault="004A328A" w:rsidP="00FA4C03">
            <w:pPr>
              <w:jc w:val="center"/>
              <w:rPr>
                <w:rFonts w:eastAsia="Times New Roman" w:cs="Calibri Light"/>
                <w:sz w:val="18"/>
                <w:szCs w:val="18"/>
              </w:rPr>
            </w:pPr>
            <w:r>
              <w:rPr>
                <w:rFonts w:eastAsia="Times New Roman" w:cs="Calibri Light"/>
                <w:sz w:val="18"/>
                <w:szCs w:val="18"/>
              </w:rPr>
              <w:t>3.230</w:t>
            </w:r>
          </w:p>
        </w:tc>
        <w:tc>
          <w:tcPr>
            <w:tcW w:w="1666" w:type="dxa"/>
            <w:vAlign w:val="center"/>
          </w:tcPr>
          <w:p w14:paraId="79F9B7BD" w14:textId="017A2158" w:rsidR="008B3E65" w:rsidRPr="00744A5B" w:rsidRDefault="008B3E65" w:rsidP="00FA4C03">
            <w:pPr>
              <w:jc w:val="center"/>
              <w:rPr>
                <w:rFonts w:eastAsia="Times New Roman" w:cs="Calibri Light"/>
                <w:sz w:val="18"/>
                <w:szCs w:val="18"/>
              </w:rPr>
            </w:pPr>
            <w:r w:rsidRPr="00744A5B">
              <w:rPr>
                <w:rFonts w:eastAsia="Times New Roman" w:cs="Calibri Light"/>
                <w:sz w:val="18"/>
                <w:szCs w:val="18"/>
              </w:rPr>
              <w:t>$67.55</w:t>
            </w:r>
          </w:p>
        </w:tc>
        <w:tc>
          <w:tcPr>
            <w:tcW w:w="1299" w:type="dxa"/>
            <w:vAlign w:val="bottom"/>
          </w:tcPr>
          <w:p w14:paraId="7C0AD3C7" w14:textId="40444E9A" w:rsidR="008B3E65" w:rsidRPr="00744A5B" w:rsidRDefault="00995DDD" w:rsidP="00FA4C03">
            <w:pPr>
              <w:jc w:val="center"/>
              <w:rPr>
                <w:rFonts w:eastAsia="Times New Roman" w:cs="Calibri Light"/>
                <w:sz w:val="18"/>
                <w:szCs w:val="20"/>
              </w:rPr>
            </w:pPr>
            <w:r>
              <w:rPr>
                <w:rFonts w:eastAsia="Times New Roman" w:cs="Calibri Light"/>
                <w:sz w:val="18"/>
                <w:szCs w:val="20"/>
              </w:rPr>
              <w:t>$</w:t>
            </w:r>
            <w:r w:rsidR="004A328A">
              <w:rPr>
                <w:rFonts w:eastAsia="Times New Roman" w:cs="Calibri Light"/>
                <w:sz w:val="18"/>
                <w:szCs w:val="20"/>
              </w:rPr>
              <w:t>218.25</w:t>
            </w:r>
          </w:p>
        </w:tc>
      </w:tr>
      <w:tr w:rsidR="008B3E65" w:rsidRPr="00AF1AC2" w14:paraId="793CB870" w14:textId="77777777" w:rsidTr="0002472B">
        <w:trPr>
          <w:trHeight w:val="480"/>
        </w:trPr>
        <w:tc>
          <w:tcPr>
            <w:tcW w:w="2431" w:type="dxa"/>
            <w:shd w:val="clear" w:color="auto" w:fill="auto"/>
            <w:vAlign w:val="center"/>
          </w:tcPr>
          <w:p w14:paraId="24EFC593" w14:textId="7D8581AD" w:rsidR="008B3E65" w:rsidRPr="00744A5B" w:rsidRDefault="008B3E65" w:rsidP="00FA4C03">
            <w:pPr>
              <w:rPr>
                <w:rFonts w:eastAsia="Times New Roman" w:cs="Calibri Light"/>
                <w:sz w:val="18"/>
                <w:szCs w:val="18"/>
              </w:rPr>
            </w:pPr>
            <w:r>
              <w:rPr>
                <w:rFonts w:eastAsia="Times New Roman" w:cs="Calibri Light"/>
                <w:sz w:val="18"/>
                <w:szCs w:val="18"/>
              </w:rPr>
              <w:t>Window Air AC</w:t>
            </w:r>
          </w:p>
        </w:tc>
        <w:tc>
          <w:tcPr>
            <w:tcW w:w="1434" w:type="dxa"/>
            <w:shd w:val="clear" w:color="auto" w:fill="auto"/>
            <w:noWrap/>
            <w:vAlign w:val="bottom"/>
          </w:tcPr>
          <w:p w14:paraId="1D7B5C97" w14:textId="74E9E1DF" w:rsidR="008B3E65" w:rsidRPr="00744A5B" w:rsidRDefault="006A59E3" w:rsidP="00FA4C03">
            <w:pPr>
              <w:jc w:val="center"/>
              <w:rPr>
                <w:rFonts w:eastAsia="Times New Roman" w:cs="Calibri Light"/>
                <w:sz w:val="18"/>
                <w:szCs w:val="18"/>
              </w:rPr>
            </w:pPr>
            <w:r>
              <w:rPr>
                <w:rFonts w:eastAsia="Times New Roman" w:cs="Calibri Light"/>
                <w:sz w:val="18"/>
                <w:szCs w:val="18"/>
              </w:rPr>
              <w:t>2</w:t>
            </w:r>
            <w:r w:rsidR="004D3625">
              <w:rPr>
                <w:rFonts w:eastAsia="Times New Roman" w:cs="Calibri Light"/>
                <w:sz w:val="18"/>
                <w:szCs w:val="18"/>
              </w:rPr>
              <w:t>.000</w:t>
            </w:r>
          </w:p>
        </w:tc>
        <w:tc>
          <w:tcPr>
            <w:tcW w:w="1243" w:type="dxa"/>
            <w:vAlign w:val="bottom"/>
          </w:tcPr>
          <w:p w14:paraId="209BCB93" w14:textId="7F23D169" w:rsidR="008B3E65" w:rsidRPr="00744A5B" w:rsidRDefault="00F2123C" w:rsidP="00FA4C03">
            <w:pPr>
              <w:jc w:val="center"/>
              <w:rPr>
                <w:rFonts w:eastAsia="Times New Roman" w:cs="Calibri Light"/>
                <w:sz w:val="18"/>
                <w:szCs w:val="18"/>
              </w:rPr>
            </w:pPr>
            <w:r>
              <w:rPr>
                <w:rFonts w:eastAsia="Times New Roman" w:cs="Calibri Light"/>
                <w:sz w:val="18"/>
                <w:szCs w:val="18"/>
              </w:rPr>
              <w:t>4.00</w:t>
            </w:r>
            <w:r w:rsidR="004A328A">
              <w:rPr>
                <w:rFonts w:eastAsia="Times New Roman" w:cs="Calibri Light"/>
                <w:sz w:val="18"/>
                <w:szCs w:val="18"/>
              </w:rPr>
              <w:t>0</w:t>
            </w:r>
          </w:p>
        </w:tc>
        <w:tc>
          <w:tcPr>
            <w:tcW w:w="1277" w:type="dxa"/>
            <w:vAlign w:val="bottom"/>
          </w:tcPr>
          <w:p w14:paraId="13DD7B28" w14:textId="114D5892" w:rsidR="008B3E65" w:rsidRPr="00744A5B" w:rsidRDefault="00F2123C" w:rsidP="00FA4C03">
            <w:pPr>
              <w:jc w:val="center"/>
              <w:rPr>
                <w:rFonts w:eastAsia="Times New Roman" w:cs="Calibri Light"/>
                <w:sz w:val="18"/>
                <w:szCs w:val="18"/>
              </w:rPr>
            </w:pPr>
            <w:r>
              <w:rPr>
                <w:rFonts w:eastAsia="Times New Roman" w:cs="Calibri Light"/>
                <w:sz w:val="18"/>
                <w:szCs w:val="18"/>
              </w:rPr>
              <w:t>3.00</w:t>
            </w:r>
            <w:r w:rsidR="004A328A">
              <w:rPr>
                <w:rFonts w:eastAsia="Times New Roman" w:cs="Calibri Light"/>
                <w:sz w:val="18"/>
                <w:szCs w:val="18"/>
              </w:rPr>
              <w:t>0</w:t>
            </w:r>
          </w:p>
        </w:tc>
        <w:tc>
          <w:tcPr>
            <w:tcW w:w="1666" w:type="dxa"/>
            <w:vAlign w:val="center"/>
          </w:tcPr>
          <w:p w14:paraId="32CA5C36" w14:textId="728AFF92" w:rsidR="008B3E65" w:rsidRPr="00744A5B" w:rsidRDefault="008B3E65" w:rsidP="00FA4C03">
            <w:pPr>
              <w:jc w:val="center"/>
              <w:rPr>
                <w:rFonts w:eastAsia="Times New Roman" w:cs="Calibri Light"/>
                <w:sz w:val="18"/>
                <w:szCs w:val="18"/>
              </w:rPr>
            </w:pPr>
            <w:r w:rsidRPr="00744A5B">
              <w:rPr>
                <w:rFonts w:eastAsia="Times New Roman" w:cs="Calibri Light"/>
                <w:sz w:val="18"/>
                <w:szCs w:val="18"/>
              </w:rPr>
              <w:t>$</w:t>
            </w:r>
            <w:r w:rsidR="00EB5284">
              <w:rPr>
                <w:rFonts w:eastAsia="Times New Roman" w:cs="Calibri Light"/>
                <w:sz w:val="18"/>
                <w:szCs w:val="18"/>
              </w:rPr>
              <w:t>6</w:t>
            </w:r>
            <w:r w:rsidRPr="00744A5B">
              <w:rPr>
                <w:rFonts w:eastAsia="Times New Roman" w:cs="Calibri Light"/>
                <w:sz w:val="18"/>
                <w:szCs w:val="18"/>
              </w:rPr>
              <w:t>7.55</w:t>
            </w:r>
          </w:p>
        </w:tc>
        <w:tc>
          <w:tcPr>
            <w:tcW w:w="1299" w:type="dxa"/>
            <w:vAlign w:val="bottom"/>
          </w:tcPr>
          <w:p w14:paraId="184063AE" w14:textId="66907287" w:rsidR="008B3E65" w:rsidRPr="00744A5B" w:rsidRDefault="004D3625" w:rsidP="00FA4C03">
            <w:pPr>
              <w:jc w:val="center"/>
              <w:rPr>
                <w:rFonts w:eastAsia="Times New Roman" w:cs="Calibri Light"/>
                <w:sz w:val="18"/>
                <w:szCs w:val="20"/>
              </w:rPr>
            </w:pPr>
            <w:r>
              <w:rPr>
                <w:rFonts w:eastAsia="Times New Roman" w:cs="Calibri Light"/>
                <w:sz w:val="18"/>
                <w:szCs w:val="20"/>
              </w:rPr>
              <w:t>$</w:t>
            </w:r>
            <w:r w:rsidR="004A328A">
              <w:rPr>
                <w:rFonts w:eastAsia="Times New Roman" w:cs="Calibri Light"/>
                <w:sz w:val="18"/>
                <w:szCs w:val="20"/>
              </w:rPr>
              <w:t>202.65</w:t>
            </w:r>
          </w:p>
        </w:tc>
      </w:tr>
      <w:tr w:rsidR="00004D90" w:rsidRPr="00AF1AC2" w14:paraId="171DD1DF" w14:textId="77777777" w:rsidTr="0002472B">
        <w:trPr>
          <w:trHeight w:val="480"/>
        </w:trPr>
        <w:tc>
          <w:tcPr>
            <w:tcW w:w="2431" w:type="dxa"/>
            <w:shd w:val="clear" w:color="auto" w:fill="auto"/>
            <w:vAlign w:val="center"/>
          </w:tcPr>
          <w:p w14:paraId="21DEF9A4" w14:textId="32488AF6" w:rsidR="00004D90" w:rsidRDefault="00004D90" w:rsidP="00FA4C03">
            <w:pPr>
              <w:rPr>
                <w:rFonts w:eastAsia="Times New Roman" w:cs="Calibri Light"/>
                <w:sz w:val="18"/>
                <w:szCs w:val="18"/>
              </w:rPr>
            </w:pPr>
            <w:r>
              <w:rPr>
                <w:rFonts w:eastAsia="Times New Roman" w:cs="Calibri Light"/>
                <w:sz w:val="18"/>
                <w:szCs w:val="18"/>
              </w:rPr>
              <w:t>Total Cost</w:t>
            </w:r>
          </w:p>
        </w:tc>
        <w:tc>
          <w:tcPr>
            <w:tcW w:w="1434" w:type="dxa"/>
            <w:shd w:val="clear" w:color="auto" w:fill="auto"/>
            <w:noWrap/>
            <w:vAlign w:val="bottom"/>
          </w:tcPr>
          <w:p w14:paraId="021BD310" w14:textId="77777777" w:rsidR="00004D90" w:rsidRDefault="00004D90" w:rsidP="00FA4C03">
            <w:pPr>
              <w:jc w:val="center"/>
              <w:rPr>
                <w:rFonts w:eastAsia="Times New Roman" w:cs="Calibri Light"/>
                <w:sz w:val="18"/>
                <w:szCs w:val="18"/>
              </w:rPr>
            </w:pPr>
          </w:p>
        </w:tc>
        <w:tc>
          <w:tcPr>
            <w:tcW w:w="1243" w:type="dxa"/>
            <w:vAlign w:val="bottom"/>
          </w:tcPr>
          <w:p w14:paraId="007CAF0F" w14:textId="77777777" w:rsidR="00004D90" w:rsidRDefault="00004D90" w:rsidP="00FA4C03">
            <w:pPr>
              <w:jc w:val="center"/>
              <w:rPr>
                <w:rFonts w:eastAsia="Times New Roman" w:cs="Calibri Light"/>
                <w:sz w:val="18"/>
                <w:szCs w:val="18"/>
              </w:rPr>
            </w:pPr>
          </w:p>
        </w:tc>
        <w:tc>
          <w:tcPr>
            <w:tcW w:w="1277" w:type="dxa"/>
            <w:vAlign w:val="bottom"/>
          </w:tcPr>
          <w:p w14:paraId="4A54864D" w14:textId="77777777" w:rsidR="00004D90" w:rsidRDefault="00004D90" w:rsidP="00FA4C03">
            <w:pPr>
              <w:jc w:val="center"/>
              <w:rPr>
                <w:rFonts w:eastAsia="Times New Roman" w:cs="Calibri Light"/>
                <w:sz w:val="18"/>
                <w:szCs w:val="18"/>
              </w:rPr>
            </w:pPr>
          </w:p>
        </w:tc>
        <w:tc>
          <w:tcPr>
            <w:tcW w:w="1666" w:type="dxa"/>
            <w:vAlign w:val="center"/>
          </w:tcPr>
          <w:p w14:paraId="27B11D1F" w14:textId="77777777" w:rsidR="00004D90" w:rsidRPr="00744A5B" w:rsidRDefault="00004D90" w:rsidP="00FA4C03">
            <w:pPr>
              <w:jc w:val="center"/>
              <w:rPr>
                <w:rFonts w:eastAsia="Times New Roman" w:cs="Calibri Light"/>
                <w:sz w:val="18"/>
                <w:szCs w:val="18"/>
              </w:rPr>
            </w:pPr>
          </w:p>
        </w:tc>
        <w:tc>
          <w:tcPr>
            <w:tcW w:w="1299" w:type="dxa"/>
            <w:vAlign w:val="bottom"/>
          </w:tcPr>
          <w:p w14:paraId="50B6FD3C" w14:textId="0D3A173B" w:rsidR="00004D90" w:rsidRDefault="00004D90" w:rsidP="00FA4C03">
            <w:pPr>
              <w:jc w:val="center"/>
              <w:rPr>
                <w:rFonts w:eastAsia="Times New Roman" w:cs="Calibri Light"/>
                <w:sz w:val="18"/>
                <w:szCs w:val="20"/>
              </w:rPr>
            </w:pPr>
            <w:r>
              <w:rPr>
                <w:rFonts w:eastAsia="Times New Roman" w:cs="Calibri Light"/>
                <w:sz w:val="18"/>
                <w:szCs w:val="20"/>
              </w:rPr>
              <w:t>$420.90</w:t>
            </w:r>
          </w:p>
        </w:tc>
      </w:tr>
      <w:tr w:rsidR="00943760" w:rsidRPr="00AF1AC2" w14:paraId="6DAA9B6B" w14:textId="77777777" w:rsidTr="0002472B">
        <w:trPr>
          <w:trHeight w:val="480"/>
        </w:trPr>
        <w:tc>
          <w:tcPr>
            <w:tcW w:w="2431" w:type="dxa"/>
            <w:shd w:val="clear" w:color="auto" w:fill="auto"/>
            <w:vAlign w:val="center"/>
          </w:tcPr>
          <w:p w14:paraId="3EE53CA1" w14:textId="7C677CCD" w:rsidR="00943760" w:rsidRDefault="00943760" w:rsidP="00FA4C03">
            <w:pPr>
              <w:rPr>
                <w:rFonts w:eastAsia="Times New Roman" w:cs="Calibri Light"/>
                <w:sz w:val="18"/>
                <w:szCs w:val="18"/>
              </w:rPr>
            </w:pPr>
            <w:r>
              <w:rPr>
                <w:rFonts w:eastAsia="Times New Roman" w:cs="Calibri Light"/>
                <w:sz w:val="18"/>
                <w:szCs w:val="18"/>
              </w:rPr>
              <w:t xml:space="preserve">Total Cost- </w:t>
            </w:r>
            <w:r w:rsidR="00B3231E">
              <w:rPr>
                <w:rFonts w:eastAsia="Times New Roman" w:cs="Calibri Light"/>
                <w:sz w:val="18"/>
                <w:szCs w:val="18"/>
              </w:rPr>
              <w:t>without Window A</w:t>
            </w:r>
            <w:r>
              <w:rPr>
                <w:rFonts w:eastAsia="Times New Roman" w:cs="Calibri Light"/>
                <w:sz w:val="18"/>
                <w:szCs w:val="18"/>
              </w:rPr>
              <w:t>C</w:t>
            </w:r>
          </w:p>
        </w:tc>
        <w:tc>
          <w:tcPr>
            <w:tcW w:w="1434" w:type="dxa"/>
            <w:shd w:val="clear" w:color="auto" w:fill="auto"/>
            <w:noWrap/>
            <w:vAlign w:val="bottom"/>
          </w:tcPr>
          <w:p w14:paraId="7B53C487" w14:textId="77777777" w:rsidR="00943760" w:rsidRDefault="00943760" w:rsidP="00FA4C03">
            <w:pPr>
              <w:jc w:val="center"/>
              <w:rPr>
                <w:rFonts w:eastAsia="Times New Roman" w:cs="Calibri Light"/>
                <w:sz w:val="18"/>
                <w:szCs w:val="18"/>
              </w:rPr>
            </w:pPr>
          </w:p>
        </w:tc>
        <w:tc>
          <w:tcPr>
            <w:tcW w:w="1243" w:type="dxa"/>
            <w:vAlign w:val="bottom"/>
          </w:tcPr>
          <w:p w14:paraId="57A7594A" w14:textId="77777777" w:rsidR="00943760" w:rsidRDefault="00943760" w:rsidP="00FA4C03">
            <w:pPr>
              <w:jc w:val="center"/>
              <w:rPr>
                <w:rFonts w:eastAsia="Times New Roman" w:cs="Calibri Light"/>
                <w:sz w:val="18"/>
                <w:szCs w:val="18"/>
              </w:rPr>
            </w:pPr>
          </w:p>
        </w:tc>
        <w:tc>
          <w:tcPr>
            <w:tcW w:w="1277" w:type="dxa"/>
            <w:vAlign w:val="bottom"/>
          </w:tcPr>
          <w:p w14:paraId="4A195B9A" w14:textId="77777777" w:rsidR="00943760" w:rsidRDefault="00943760" w:rsidP="00FA4C03">
            <w:pPr>
              <w:jc w:val="center"/>
              <w:rPr>
                <w:rFonts w:eastAsia="Times New Roman" w:cs="Calibri Light"/>
                <w:sz w:val="18"/>
                <w:szCs w:val="18"/>
              </w:rPr>
            </w:pPr>
          </w:p>
        </w:tc>
        <w:tc>
          <w:tcPr>
            <w:tcW w:w="1666" w:type="dxa"/>
            <w:vAlign w:val="center"/>
          </w:tcPr>
          <w:p w14:paraId="49DBF61E" w14:textId="77777777" w:rsidR="00943760" w:rsidRPr="00744A5B" w:rsidRDefault="00943760" w:rsidP="00FA4C03">
            <w:pPr>
              <w:jc w:val="center"/>
              <w:rPr>
                <w:rFonts w:eastAsia="Times New Roman" w:cs="Calibri Light"/>
                <w:sz w:val="18"/>
                <w:szCs w:val="18"/>
              </w:rPr>
            </w:pPr>
          </w:p>
        </w:tc>
        <w:tc>
          <w:tcPr>
            <w:tcW w:w="1299" w:type="dxa"/>
            <w:vAlign w:val="bottom"/>
          </w:tcPr>
          <w:p w14:paraId="167DA834" w14:textId="51015505" w:rsidR="00943760" w:rsidRDefault="00943760" w:rsidP="00FA4C03">
            <w:pPr>
              <w:jc w:val="center"/>
              <w:rPr>
                <w:rFonts w:eastAsia="Times New Roman" w:cs="Calibri Light"/>
                <w:sz w:val="18"/>
                <w:szCs w:val="20"/>
              </w:rPr>
            </w:pPr>
            <w:r>
              <w:rPr>
                <w:rFonts w:eastAsia="Times New Roman" w:cs="Calibri Light"/>
                <w:sz w:val="18"/>
                <w:szCs w:val="20"/>
              </w:rPr>
              <w:t>$218.25</w:t>
            </w:r>
          </w:p>
        </w:tc>
      </w:tr>
      <w:bookmarkEnd w:id="62"/>
      <w:tr w:rsidR="008A3AF0" w:rsidRPr="00AF1AC2" w14:paraId="1D25F522" w14:textId="77777777" w:rsidTr="0002472B">
        <w:trPr>
          <w:trHeight w:val="480"/>
        </w:trPr>
        <w:tc>
          <w:tcPr>
            <w:tcW w:w="2431" w:type="dxa"/>
            <w:shd w:val="clear" w:color="auto" w:fill="auto"/>
            <w:vAlign w:val="center"/>
          </w:tcPr>
          <w:p w14:paraId="457F6A66" w14:textId="2AE5BE1B" w:rsidR="008A3AF0" w:rsidRDefault="008A3AF0" w:rsidP="00FA4C03">
            <w:pPr>
              <w:rPr>
                <w:rFonts w:eastAsia="Times New Roman" w:cs="Calibri Light"/>
                <w:sz w:val="18"/>
                <w:szCs w:val="18"/>
              </w:rPr>
            </w:pPr>
            <w:r>
              <w:rPr>
                <w:rFonts w:eastAsia="Times New Roman" w:cs="Calibri Light"/>
                <w:sz w:val="18"/>
                <w:szCs w:val="18"/>
              </w:rPr>
              <w:t>Total Normalized Cost</w:t>
            </w:r>
          </w:p>
        </w:tc>
        <w:tc>
          <w:tcPr>
            <w:tcW w:w="1434" w:type="dxa"/>
            <w:shd w:val="clear" w:color="auto" w:fill="auto"/>
            <w:noWrap/>
            <w:vAlign w:val="bottom"/>
          </w:tcPr>
          <w:p w14:paraId="4421972F" w14:textId="77777777" w:rsidR="008A3AF0" w:rsidRDefault="008A3AF0" w:rsidP="00FA4C03">
            <w:pPr>
              <w:jc w:val="center"/>
              <w:rPr>
                <w:rFonts w:eastAsia="Times New Roman" w:cs="Calibri Light"/>
                <w:sz w:val="18"/>
                <w:szCs w:val="18"/>
              </w:rPr>
            </w:pPr>
          </w:p>
        </w:tc>
        <w:tc>
          <w:tcPr>
            <w:tcW w:w="1243" w:type="dxa"/>
            <w:vAlign w:val="bottom"/>
          </w:tcPr>
          <w:p w14:paraId="57B1AE87" w14:textId="77777777" w:rsidR="008A3AF0" w:rsidRDefault="008A3AF0" w:rsidP="00FA4C03">
            <w:pPr>
              <w:jc w:val="center"/>
              <w:rPr>
                <w:rFonts w:eastAsia="Times New Roman" w:cs="Calibri Light"/>
                <w:sz w:val="18"/>
                <w:szCs w:val="18"/>
              </w:rPr>
            </w:pPr>
          </w:p>
        </w:tc>
        <w:tc>
          <w:tcPr>
            <w:tcW w:w="1277" w:type="dxa"/>
            <w:vAlign w:val="bottom"/>
          </w:tcPr>
          <w:p w14:paraId="568163AF" w14:textId="77777777" w:rsidR="008A3AF0" w:rsidRDefault="008A3AF0" w:rsidP="00FA4C03">
            <w:pPr>
              <w:jc w:val="center"/>
              <w:rPr>
                <w:rFonts w:eastAsia="Times New Roman" w:cs="Calibri Light"/>
                <w:sz w:val="18"/>
                <w:szCs w:val="18"/>
              </w:rPr>
            </w:pPr>
          </w:p>
        </w:tc>
        <w:tc>
          <w:tcPr>
            <w:tcW w:w="1666" w:type="dxa"/>
            <w:vAlign w:val="center"/>
          </w:tcPr>
          <w:p w14:paraId="3CDA06F8" w14:textId="77777777" w:rsidR="008A3AF0" w:rsidRPr="00744A5B" w:rsidRDefault="008A3AF0" w:rsidP="00FA4C03">
            <w:pPr>
              <w:jc w:val="center"/>
              <w:rPr>
                <w:rFonts w:eastAsia="Times New Roman" w:cs="Calibri Light"/>
                <w:sz w:val="18"/>
                <w:szCs w:val="18"/>
              </w:rPr>
            </w:pPr>
          </w:p>
        </w:tc>
        <w:tc>
          <w:tcPr>
            <w:tcW w:w="1299" w:type="dxa"/>
            <w:vAlign w:val="bottom"/>
          </w:tcPr>
          <w:p w14:paraId="134A1C22" w14:textId="3B3165D5" w:rsidR="008A3AF0" w:rsidRDefault="008A3AF0" w:rsidP="00FA4C03">
            <w:pPr>
              <w:jc w:val="center"/>
              <w:rPr>
                <w:rFonts w:eastAsia="Times New Roman" w:cs="Calibri Light"/>
                <w:sz w:val="18"/>
                <w:szCs w:val="20"/>
              </w:rPr>
            </w:pPr>
            <w:r>
              <w:rPr>
                <w:rFonts w:eastAsia="Times New Roman" w:cs="Calibri Light"/>
                <w:sz w:val="18"/>
                <w:szCs w:val="20"/>
              </w:rPr>
              <w:t>$</w:t>
            </w:r>
            <w:r w:rsidR="00004D90">
              <w:rPr>
                <w:rFonts w:eastAsia="Times New Roman" w:cs="Calibri Light"/>
                <w:sz w:val="18"/>
                <w:szCs w:val="20"/>
              </w:rPr>
              <w:t>280.60</w:t>
            </w:r>
          </w:p>
        </w:tc>
      </w:tr>
      <w:tr w:rsidR="00943760" w:rsidRPr="00AF1AC2" w14:paraId="28C1C983" w14:textId="77777777" w:rsidTr="00943760">
        <w:trPr>
          <w:trHeight w:val="480"/>
        </w:trPr>
        <w:tc>
          <w:tcPr>
            <w:tcW w:w="2431" w:type="dxa"/>
            <w:shd w:val="clear" w:color="auto" w:fill="auto"/>
            <w:vAlign w:val="center"/>
          </w:tcPr>
          <w:p w14:paraId="078FD782" w14:textId="4B99A472" w:rsidR="00943760" w:rsidRDefault="00943760" w:rsidP="00FA4C03">
            <w:pPr>
              <w:rPr>
                <w:rFonts w:eastAsia="Times New Roman" w:cs="Calibri Light"/>
                <w:sz w:val="18"/>
                <w:szCs w:val="18"/>
              </w:rPr>
            </w:pPr>
            <w:r>
              <w:rPr>
                <w:rFonts w:eastAsia="Times New Roman" w:cs="Calibri Light"/>
                <w:sz w:val="18"/>
                <w:szCs w:val="18"/>
              </w:rPr>
              <w:t xml:space="preserve">Total Normalized Cost- </w:t>
            </w:r>
            <w:r w:rsidR="00B3231E">
              <w:rPr>
                <w:rFonts w:eastAsia="Times New Roman" w:cs="Calibri Light"/>
                <w:sz w:val="18"/>
                <w:szCs w:val="18"/>
              </w:rPr>
              <w:t>Without</w:t>
            </w:r>
            <w:r>
              <w:rPr>
                <w:rFonts w:eastAsia="Times New Roman" w:cs="Calibri Light"/>
                <w:sz w:val="18"/>
                <w:szCs w:val="18"/>
              </w:rPr>
              <w:t xml:space="preserve"> AC</w:t>
            </w:r>
          </w:p>
        </w:tc>
        <w:tc>
          <w:tcPr>
            <w:tcW w:w="1434" w:type="dxa"/>
            <w:shd w:val="clear" w:color="auto" w:fill="auto"/>
            <w:noWrap/>
            <w:vAlign w:val="bottom"/>
          </w:tcPr>
          <w:p w14:paraId="344B45CF" w14:textId="77777777" w:rsidR="00943760" w:rsidRDefault="00943760" w:rsidP="00FA4C03">
            <w:pPr>
              <w:jc w:val="center"/>
              <w:rPr>
                <w:rFonts w:eastAsia="Times New Roman" w:cs="Calibri Light"/>
                <w:sz w:val="18"/>
                <w:szCs w:val="18"/>
              </w:rPr>
            </w:pPr>
          </w:p>
        </w:tc>
        <w:tc>
          <w:tcPr>
            <w:tcW w:w="1243" w:type="dxa"/>
            <w:vAlign w:val="bottom"/>
          </w:tcPr>
          <w:p w14:paraId="46C1D6CA" w14:textId="77777777" w:rsidR="00943760" w:rsidRDefault="00943760" w:rsidP="00FA4C03">
            <w:pPr>
              <w:jc w:val="center"/>
              <w:rPr>
                <w:rFonts w:eastAsia="Times New Roman" w:cs="Calibri Light"/>
                <w:sz w:val="18"/>
                <w:szCs w:val="18"/>
              </w:rPr>
            </w:pPr>
          </w:p>
        </w:tc>
        <w:tc>
          <w:tcPr>
            <w:tcW w:w="1277" w:type="dxa"/>
            <w:vAlign w:val="bottom"/>
          </w:tcPr>
          <w:p w14:paraId="1559CCE4" w14:textId="77777777" w:rsidR="00943760" w:rsidRDefault="00943760" w:rsidP="00FA4C03">
            <w:pPr>
              <w:jc w:val="center"/>
              <w:rPr>
                <w:rFonts w:eastAsia="Times New Roman" w:cs="Calibri Light"/>
                <w:sz w:val="18"/>
                <w:szCs w:val="18"/>
              </w:rPr>
            </w:pPr>
          </w:p>
        </w:tc>
        <w:tc>
          <w:tcPr>
            <w:tcW w:w="1666" w:type="dxa"/>
            <w:vAlign w:val="center"/>
          </w:tcPr>
          <w:p w14:paraId="31160193" w14:textId="77777777" w:rsidR="00943760" w:rsidRPr="00744A5B" w:rsidRDefault="00943760" w:rsidP="00FA4C03">
            <w:pPr>
              <w:jc w:val="center"/>
              <w:rPr>
                <w:rFonts w:eastAsia="Times New Roman" w:cs="Calibri Light"/>
                <w:sz w:val="18"/>
                <w:szCs w:val="18"/>
              </w:rPr>
            </w:pPr>
          </w:p>
        </w:tc>
        <w:tc>
          <w:tcPr>
            <w:tcW w:w="1299" w:type="dxa"/>
            <w:vAlign w:val="center"/>
          </w:tcPr>
          <w:p w14:paraId="34472777" w14:textId="51A571AA" w:rsidR="00943760" w:rsidRDefault="00943760" w:rsidP="00943760">
            <w:pPr>
              <w:jc w:val="center"/>
              <w:rPr>
                <w:rFonts w:eastAsia="Times New Roman" w:cs="Calibri Light"/>
                <w:sz w:val="18"/>
                <w:szCs w:val="20"/>
              </w:rPr>
            </w:pPr>
            <w:r w:rsidRPr="00943760">
              <w:rPr>
                <w:rFonts w:eastAsia="Times New Roman" w:cs="Calibri Light"/>
                <w:sz w:val="18"/>
                <w:szCs w:val="20"/>
              </w:rPr>
              <w:t>$145.50</w:t>
            </w:r>
          </w:p>
        </w:tc>
      </w:tr>
    </w:tbl>
    <w:p w14:paraId="4FD7D10C" w14:textId="77777777" w:rsidR="008B3E65" w:rsidRDefault="008B3E65" w:rsidP="00B13E72">
      <w:pPr>
        <w:pStyle w:val="NoSpacing"/>
        <w:jc w:val="both"/>
        <w:rPr>
          <w:rFonts w:ascii="Calibri Light" w:hAnsi="Calibri Light"/>
        </w:rPr>
      </w:pPr>
    </w:p>
    <w:p w14:paraId="6EF89285" w14:textId="77777777" w:rsidR="00375BD8" w:rsidRPr="00C6243E" w:rsidRDefault="00375BD8" w:rsidP="00B13E72">
      <w:pPr>
        <w:pStyle w:val="eTRMHeading3"/>
        <w:jc w:val="both"/>
        <w:rPr>
          <w:rFonts w:cs="Calibri Light"/>
        </w:rPr>
      </w:pPr>
      <w:bookmarkStart w:id="64" w:name="_Toc64561072"/>
      <w:r w:rsidRPr="00A605C9">
        <w:rPr>
          <w:rFonts w:cs="Calibri Light"/>
        </w:rPr>
        <w:t>Measure Case Labor Cost ($/unit)</w:t>
      </w:r>
      <w:bookmarkEnd w:id="64"/>
    </w:p>
    <w:p w14:paraId="42FE03EB" w14:textId="4AC3B61A" w:rsidR="00FD2C9E" w:rsidRDefault="005335B3" w:rsidP="00B13E72">
      <w:pPr>
        <w:jc w:val="both"/>
        <w:rPr>
          <w:rFonts w:cs="Calibri Light"/>
        </w:rPr>
      </w:pPr>
      <w:r w:rsidRPr="00C6243E">
        <w:rPr>
          <w:rFonts w:cs="Calibri Light"/>
        </w:rPr>
        <w:t>Labor cost was found from RS Means Online database (201</w:t>
      </w:r>
      <w:r>
        <w:rPr>
          <w:rFonts w:cs="Calibri Light"/>
        </w:rPr>
        <w:t>9</w:t>
      </w:r>
      <w:r w:rsidRPr="00C6243E">
        <w:rPr>
          <w:rFonts w:cs="Calibri Light"/>
        </w:rPr>
        <w:t>)</w:t>
      </w:r>
      <w:r>
        <w:rPr>
          <w:rStyle w:val="FootnoteReference"/>
          <w:rFonts w:cs="Calibri Light"/>
        </w:rPr>
        <w:footnoteReference w:id="31"/>
      </w:r>
      <w:r>
        <w:rPr>
          <w:rFonts w:cs="Calibri Light"/>
        </w:rPr>
        <w:t xml:space="preserve"> and </w:t>
      </w:r>
      <w:r>
        <w:t>RSMeans Facilities Construction Cost Data</w:t>
      </w:r>
      <w:r>
        <w:rPr>
          <w:rStyle w:val="FootnoteReference"/>
        </w:rPr>
        <w:footnoteReference w:id="32"/>
      </w:r>
      <w:r w:rsidRPr="00C6243E">
        <w:rPr>
          <w:rFonts w:cs="Calibri Light"/>
        </w:rPr>
        <w:t>.</w:t>
      </w:r>
      <w:r>
        <w:rPr>
          <w:rFonts w:cs="Calibri Light"/>
        </w:rPr>
        <w:t xml:space="preserve"> </w:t>
      </w:r>
      <w:r w:rsidR="000D2A58">
        <w:rPr>
          <w:rFonts w:cs="Calibri Light"/>
        </w:rPr>
        <w:t xml:space="preserve">Costing </w:t>
      </w:r>
      <w:r>
        <w:rPr>
          <w:rFonts w:cs="Calibri Light"/>
        </w:rPr>
        <w:t>included a range of labor hours based on its size, thus the average labor hours per equipment was selected.</w:t>
      </w:r>
      <w:r w:rsidR="00DE538D">
        <w:t xml:space="preserve"> T</w:t>
      </w:r>
      <w:r w:rsidR="008A3AF0">
        <w:t>he</w:t>
      </w:r>
      <w:r>
        <w:t xml:space="preserve"> </w:t>
      </w:r>
      <w:r>
        <w:rPr>
          <w:rFonts w:cs="Calibri Light"/>
        </w:rPr>
        <w:t xml:space="preserve">installation </w:t>
      </w:r>
      <w:r w:rsidR="008A3AF0">
        <w:rPr>
          <w:rFonts w:cs="Calibri Light"/>
        </w:rPr>
        <w:t>include</w:t>
      </w:r>
      <w:r w:rsidR="00F4642B">
        <w:rPr>
          <w:rFonts w:cs="Calibri Light"/>
        </w:rPr>
        <w:t>s</w:t>
      </w:r>
      <w:r w:rsidR="008A3AF0">
        <w:rPr>
          <w:rFonts w:cs="Calibri Light"/>
        </w:rPr>
        <w:t xml:space="preserve"> installing</w:t>
      </w:r>
      <w:r>
        <w:rPr>
          <w:rFonts w:cs="Calibri Light"/>
        </w:rPr>
        <w:t xml:space="preserve"> the mini-split heat pump and construction of a concrete pad for the new outdoor condensing unit. </w:t>
      </w:r>
    </w:p>
    <w:p w14:paraId="081E2BD1" w14:textId="512DE8E6" w:rsidR="000D2A58" w:rsidRDefault="000D2A58" w:rsidP="00B13E72">
      <w:pPr>
        <w:jc w:val="both"/>
        <w:rPr>
          <w:rFonts w:cs="Calibri Light"/>
        </w:rPr>
      </w:pPr>
      <w:r>
        <w:t>RSMeans hourly labor rates for a residential electrician were used to estimate labor costs for mechanical installations</w:t>
      </w:r>
      <w:r w:rsidR="00340CB4">
        <w:t>.</w:t>
      </w:r>
      <w:r w:rsidR="00340CB4">
        <w:rPr>
          <w:rStyle w:val="FootnoteReference"/>
        </w:rPr>
        <w:footnoteReference w:id="33"/>
      </w:r>
      <w:r>
        <w:t xml:space="preserve"> </w:t>
      </w:r>
    </w:p>
    <w:p w14:paraId="69E77483" w14:textId="0E4F0DE0" w:rsidR="00375BD8" w:rsidRDefault="000D2A58" w:rsidP="00B13E72">
      <w:pPr>
        <w:jc w:val="both"/>
        <w:rPr>
          <w:rFonts w:cs="Calibri Light"/>
        </w:rPr>
      </w:pPr>
      <w:r>
        <w:rPr>
          <w:rFonts w:cs="Calibri Light"/>
        </w:rPr>
        <w:t xml:space="preserve">The mini-split installation costs were normalized </w:t>
      </w:r>
      <w:r w:rsidR="00BD007D">
        <w:rPr>
          <w:rFonts w:cs="Calibri Light"/>
        </w:rPr>
        <w:t>based on a midpoint system size of the measure which was found to be 1.5 tons</w:t>
      </w:r>
      <w:r>
        <w:rPr>
          <w:rFonts w:cs="Calibri Light"/>
        </w:rPr>
        <w:t>.</w:t>
      </w:r>
      <w:r w:rsidR="00001176" w:rsidRPr="00001176">
        <w:rPr>
          <w:rFonts w:cs="Calibri Light"/>
        </w:rPr>
        <w:t xml:space="preserve"> </w:t>
      </w:r>
      <w:r w:rsidR="00001176">
        <w:rPr>
          <w:rFonts w:cs="Calibri Light"/>
        </w:rPr>
        <w:t>See cost calculations for more details.</w:t>
      </w:r>
      <w:r w:rsidR="00001176">
        <w:rPr>
          <w:rStyle w:val="FootnoteReference"/>
          <w:rFonts w:cs="Calibri Light"/>
        </w:rPr>
        <w:footnoteReference w:id="34"/>
      </w:r>
    </w:p>
    <w:tbl>
      <w:tblPr>
        <w:tblW w:w="9567" w:type="dxa"/>
        <w:tblLook w:val="04A0" w:firstRow="1" w:lastRow="0" w:firstColumn="1" w:lastColumn="0" w:noHBand="0" w:noVBand="1"/>
      </w:tblPr>
      <w:tblGrid>
        <w:gridCol w:w="3734"/>
        <w:gridCol w:w="1010"/>
        <w:gridCol w:w="1010"/>
        <w:gridCol w:w="1212"/>
        <w:gridCol w:w="1359"/>
        <w:gridCol w:w="1242"/>
      </w:tblGrid>
      <w:tr w:rsidR="00D5351D" w:rsidRPr="00FC76DD" w14:paraId="12E8C181" w14:textId="77777777" w:rsidTr="00AD642E">
        <w:trPr>
          <w:trHeight w:val="350"/>
        </w:trPr>
        <w:tc>
          <w:tcPr>
            <w:tcW w:w="3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1E6467E" w14:textId="77777777" w:rsidR="00D5351D" w:rsidRPr="00FC76DD" w:rsidRDefault="00D5351D" w:rsidP="007C7A88">
            <w:pPr>
              <w:rPr>
                <w:rFonts w:eastAsia="Times New Roman" w:cs="Calibri Light"/>
                <w:b/>
                <w:bCs/>
                <w:sz w:val="20"/>
                <w:szCs w:val="20"/>
              </w:rPr>
            </w:pPr>
            <w:r w:rsidRPr="00FC76DD">
              <w:rPr>
                <w:rFonts w:eastAsia="Times New Roman" w:cs="Calibri Light"/>
                <w:b/>
                <w:bCs/>
                <w:sz w:val="20"/>
                <w:szCs w:val="20"/>
              </w:rPr>
              <w:t>Description</w:t>
            </w:r>
          </w:p>
        </w:tc>
        <w:tc>
          <w:tcPr>
            <w:tcW w:w="1010"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4A2B16A8" w14:textId="77777777" w:rsidR="00D5351D" w:rsidRPr="00FC76DD" w:rsidRDefault="00D5351D" w:rsidP="007C7A88">
            <w:pPr>
              <w:jc w:val="center"/>
              <w:rPr>
                <w:rFonts w:eastAsia="Times New Roman" w:cs="Calibri Light"/>
                <w:b/>
                <w:bCs/>
                <w:sz w:val="20"/>
                <w:szCs w:val="20"/>
              </w:rPr>
            </w:pPr>
            <w:r w:rsidRPr="00FC76DD">
              <w:rPr>
                <w:rFonts w:eastAsia="Times New Roman" w:cs="Calibri Light"/>
                <w:b/>
                <w:bCs/>
                <w:sz w:val="20"/>
                <w:szCs w:val="20"/>
              </w:rPr>
              <w:t>Labor Hrs Min</w:t>
            </w:r>
          </w:p>
        </w:tc>
        <w:tc>
          <w:tcPr>
            <w:tcW w:w="1010"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7210FE6C" w14:textId="77777777" w:rsidR="00D5351D" w:rsidRPr="00FC76DD" w:rsidRDefault="00D5351D" w:rsidP="007C7A88">
            <w:pPr>
              <w:jc w:val="center"/>
              <w:rPr>
                <w:rFonts w:eastAsia="Times New Roman" w:cs="Calibri Light"/>
                <w:b/>
                <w:bCs/>
                <w:sz w:val="20"/>
                <w:szCs w:val="20"/>
              </w:rPr>
            </w:pPr>
            <w:r w:rsidRPr="00FC76DD">
              <w:rPr>
                <w:rFonts w:eastAsia="Times New Roman" w:cs="Calibri Light"/>
                <w:b/>
                <w:bCs/>
                <w:sz w:val="20"/>
                <w:szCs w:val="20"/>
              </w:rPr>
              <w:t>Labor Hrs Max</w:t>
            </w:r>
          </w:p>
        </w:tc>
        <w:tc>
          <w:tcPr>
            <w:tcW w:w="1212"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10FD7BCF" w14:textId="77777777" w:rsidR="00D5351D" w:rsidRPr="00FC76DD" w:rsidRDefault="00D5351D" w:rsidP="007C7A88">
            <w:pPr>
              <w:jc w:val="center"/>
              <w:rPr>
                <w:rFonts w:eastAsia="Times New Roman" w:cs="Calibri Light"/>
                <w:b/>
                <w:bCs/>
                <w:sz w:val="20"/>
                <w:szCs w:val="20"/>
              </w:rPr>
            </w:pPr>
            <w:r w:rsidRPr="00FC76DD">
              <w:rPr>
                <w:rFonts w:eastAsia="Times New Roman" w:cs="Calibri Light"/>
                <w:b/>
                <w:bCs/>
                <w:sz w:val="20"/>
                <w:szCs w:val="20"/>
              </w:rPr>
              <w:t>Avg Labor Hrs</w:t>
            </w:r>
          </w:p>
        </w:tc>
        <w:tc>
          <w:tcPr>
            <w:tcW w:w="1359"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6783705D" w14:textId="77777777" w:rsidR="00D5351D" w:rsidRPr="00FC76DD" w:rsidRDefault="00D5351D" w:rsidP="007C7A88">
            <w:pPr>
              <w:jc w:val="center"/>
              <w:rPr>
                <w:rFonts w:eastAsia="Times New Roman" w:cs="Calibri Light"/>
                <w:b/>
                <w:bCs/>
                <w:sz w:val="20"/>
                <w:szCs w:val="20"/>
              </w:rPr>
            </w:pPr>
            <w:r w:rsidRPr="00FC76DD">
              <w:rPr>
                <w:rFonts w:eastAsia="Times New Roman" w:cs="Calibri Light"/>
                <w:b/>
                <w:bCs/>
                <w:sz w:val="20"/>
                <w:szCs w:val="20"/>
              </w:rPr>
              <w:t>Electrician Hourly Rate with O&amp;P</w:t>
            </w:r>
            <w:r>
              <w:rPr>
                <w:rStyle w:val="FootnoteReference"/>
                <w:rFonts w:eastAsia="Times New Roman" w:cs="Calibri Light"/>
                <w:b/>
                <w:bCs/>
                <w:sz w:val="20"/>
                <w:szCs w:val="20"/>
              </w:rPr>
              <w:footnoteReference w:id="35"/>
            </w:r>
          </w:p>
        </w:tc>
        <w:tc>
          <w:tcPr>
            <w:tcW w:w="1242"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387A9A85" w14:textId="77777777" w:rsidR="00D5351D" w:rsidRPr="00FC76DD" w:rsidRDefault="00D5351D" w:rsidP="007C7A88">
            <w:pPr>
              <w:jc w:val="center"/>
              <w:rPr>
                <w:rFonts w:eastAsia="Times New Roman" w:cs="Calibri Light"/>
                <w:b/>
                <w:bCs/>
                <w:sz w:val="20"/>
                <w:szCs w:val="20"/>
              </w:rPr>
            </w:pPr>
            <w:r w:rsidRPr="00FC76DD">
              <w:rPr>
                <w:rFonts w:eastAsia="Times New Roman" w:cs="Calibri Light"/>
                <w:b/>
                <w:bCs/>
                <w:sz w:val="20"/>
                <w:szCs w:val="20"/>
              </w:rPr>
              <w:t>Labor Cost</w:t>
            </w:r>
          </w:p>
        </w:tc>
      </w:tr>
      <w:tr w:rsidR="00D5351D" w:rsidRPr="00FC76DD" w14:paraId="5A0460DC" w14:textId="77777777" w:rsidTr="00AD642E">
        <w:trPr>
          <w:trHeight w:val="174"/>
        </w:trPr>
        <w:tc>
          <w:tcPr>
            <w:tcW w:w="3734" w:type="dxa"/>
            <w:tcBorders>
              <w:top w:val="nil"/>
              <w:left w:val="single" w:sz="4" w:space="0" w:color="auto"/>
              <w:bottom w:val="single" w:sz="4" w:space="0" w:color="auto"/>
              <w:right w:val="single" w:sz="4" w:space="0" w:color="auto"/>
            </w:tcBorders>
            <w:shd w:val="clear" w:color="auto" w:fill="auto"/>
            <w:noWrap/>
            <w:vAlign w:val="center"/>
            <w:hideMark/>
          </w:tcPr>
          <w:p w14:paraId="593FA659" w14:textId="77777777" w:rsidR="00D5351D" w:rsidRPr="00FC76DD" w:rsidRDefault="00D5351D" w:rsidP="000D2A58">
            <w:pPr>
              <w:rPr>
                <w:rFonts w:eastAsia="Times New Roman" w:cs="Calibri Light"/>
                <w:sz w:val="18"/>
                <w:szCs w:val="18"/>
              </w:rPr>
            </w:pPr>
            <w:r w:rsidRPr="00FC76DD">
              <w:rPr>
                <w:rFonts w:eastAsia="Times New Roman" w:cs="Calibri Light"/>
                <w:sz w:val="18"/>
                <w:szCs w:val="18"/>
              </w:rPr>
              <w:t>Install: Mini-Split Heat Pump, ductless, cooling/heating (1-1.5 tons)</w:t>
            </w:r>
          </w:p>
        </w:tc>
        <w:tc>
          <w:tcPr>
            <w:tcW w:w="1010" w:type="dxa"/>
            <w:tcBorders>
              <w:top w:val="nil"/>
              <w:left w:val="nil"/>
              <w:bottom w:val="single" w:sz="4" w:space="0" w:color="auto"/>
              <w:right w:val="single" w:sz="4" w:space="0" w:color="auto"/>
            </w:tcBorders>
            <w:shd w:val="clear" w:color="auto" w:fill="auto"/>
            <w:noWrap/>
            <w:vAlign w:val="center"/>
            <w:hideMark/>
          </w:tcPr>
          <w:p w14:paraId="79DD94DF" w14:textId="77777777" w:rsidR="00D5351D" w:rsidRPr="00FC76DD" w:rsidRDefault="00D5351D" w:rsidP="000D2A58">
            <w:pPr>
              <w:jc w:val="center"/>
              <w:rPr>
                <w:rFonts w:eastAsia="Times New Roman" w:cs="Calibri Light"/>
                <w:sz w:val="18"/>
                <w:szCs w:val="18"/>
              </w:rPr>
            </w:pPr>
            <w:r w:rsidRPr="00FC76DD">
              <w:rPr>
                <w:rFonts w:eastAsia="Times New Roman" w:cs="Calibri Light"/>
                <w:sz w:val="18"/>
                <w:szCs w:val="18"/>
              </w:rPr>
              <w:t>9.412</w:t>
            </w:r>
          </w:p>
        </w:tc>
        <w:tc>
          <w:tcPr>
            <w:tcW w:w="1010" w:type="dxa"/>
            <w:tcBorders>
              <w:top w:val="nil"/>
              <w:left w:val="nil"/>
              <w:bottom w:val="single" w:sz="4" w:space="0" w:color="auto"/>
              <w:right w:val="single" w:sz="4" w:space="0" w:color="auto"/>
            </w:tcBorders>
            <w:shd w:val="clear" w:color="auto" w:fill="auto"/>
            <w:noWrap/>
            <w:vAlign w:val="center"/>
            <w:hideMark/>
          </w:tcPr>
          <w:p w14:paraId="44A52878" w14:textId="77777777" w:rsidR="00D5351D" w:rsidRPr="00FC76DD" w:rsidRDefault="00D5351D" w:rsidP="000D2A58">
            <w:pPr>
              <w:jc w:val="center"/>
              <w:rPr>
                <w:rFonts w:eastAsia="Times New Roman" w:cs="Calibri Light"/>
                <w:sz w:val="18"/>
                <w:szCs w:val="18"/>
              </w:rPr>
            </w:pPr>
            <w:r w:rsidRPr="00FC76DD">
              <w:rPr>
                <w:rFonts w:eastAsia="Times New Roman" w:cs="Calibri Light"/>
                <w:sz w:val="18"/>
                <w:szCs w:val="18"/>
              </w:rPr>
              <w:t>10.667</w:t>
            </w:r>
          </w:p>
        </w:tc>
        <w:tc>
          <w:tcPr>
            <w:tcW w:w="1212" w:type="dxa"/>
            <w:tcBorders>
              <w:top w:val="nil"/>
              <w:left w:val="nil"/>
              <w:bottom w:val="single" w:sz="4" w:space="0" w:color="auto"/>
              <w:right w:val="single" w:sz="4" w:space="0" w:color="auto"/>
            </w:tcBorders>
            <w:shd w:val="clear" w:color="auto" w:fill="auto"/>
            <w:noWrap/>
            <w:vAlign w:val="center"/>
            <w:hideMark/>
          </w:tcPr>
          <w:p w14:paraId="0F0E6E5F" w14:textId="77777777" w:rsidR="00D5351D" w:rsidRPr="00FC76DD" w:rsidRDefault="00D5351D" w:rsidP="000D2A58">
            <w:pPr>
              <w:jc w:val="center"/>
              <w:rPr>
                <w:rFonts w:eastAsia="Times New Roman" w:cs="Calibri Light"/>
                <w:sz w:val="18"/>
                <w:szCs w:val="18"/>
              </w:rPr>
            </w:pPr>
            <w:r w:rsidRPr="00FC76DD">
              <w:rPr>
                <w:rFonts w:eastAsia="Times New Roman" w:cs="Calibri Light"/>
                <w:sz w:val="18"/>
                <w:szCs w:val="18"/>
              </w:rPr>
              <w:t>10.040</w:t>
            </w:r>
          </w:p>
        </w:tc>
        <w:tc>
          <w:tcPr>
            <w:tcW w:w="1359" w:type="dxa"/>
            <w:tcBorders>
              <w:top w:val="nil"/>
              <w:left w:val="nil"/>
              <w:bottom w:val="single" w:sz="4" w:space="0" w:color="auto"/>
              <w:right w:val="single" w:sz="4" w:space="0" w:color="auto"/>
            </w:tcBorders>
            <w:shd w:val="clear" w:color="auto" w:fill="auto"/>
            <w:noWrap/>
            <w:vAlign w:val="center"/>
            <w:hideMark/>
          </w:tcPr>
          <w:p w14:paraId="37ACDFC5" w14:textId="77777777" w:rsidR="00D5351D" w:rsidRPr="00FC76DD" w:rsidRDefault="00D5351D" w:rsidP="000D2A58">
            <w:pPr>
              <w:jc w:val="center"/>
              <w:rPr>
                <w:rFonts w:eastAsia="Times New Roman" w:cs="Calibri Light"/>
                <w:sz w:val="18"/>
                <w:szCs w:val="18"/>
              </w:rPr>
            </w:pPr>
            <w:r w:rsidRPr="00FC76DD">
              <w:rPr>
                <w:rFonts w:eastAsia="Times New Roman" w:cs="Calibri Light"/>
                <w:sz w:val="18"/>
                <w:szCs w:val="18"/>
              </w:rPr>
              <w:t>$67.55</w:t>
            </w:r>
          </w:p>
        </w:tc>
        <w:tc>
          <w:tcPr>
            <w:tcW w:w="1242" w:type="dxa"/>
            <w:tcBorders>
              <w:top w:val="nil"/>
              <w:left w:val="nil"/>
              <w:bottom w:val="single" w:sz="4" w:space="0" w:color="auto"/>
              <w:right w:val="single" w:sz="4" w:space="0" w:color="auto"/>
            </w:tcBorders>
            <w:shd w:val="clear" w:color="auto" w:fill="auto"/>
            <w:noWrap/>
            <w:vAlign w:val="center"/>
            <w:hideMark/>
          </w:tcPr>
          <w:p w14:paraId="7E115750" w14:textId="77777777" w:rsidR="00D5351D" w:rsidRPr="00FC76DD" w:rsidRDefault="00D5351D" w:rsidP="000D2A58">
            <w:pPr>
              <w:jc w:val="center"/>
              <w:rPr>
                <w:rFonts w:eastAsia="Times New Roman" w:cs="Calibri Light"/>
                <w:sz w:val="18"/>
                <w:szCs w:val="18"/>
              </w:rPr>
            </w:pPr>
            <w:r w:rsidRPr="00FC76DD">
              <w:rPr>
                <w:rFonts w:eastAsia="Times New Roman" w:cs="Calibri Light"/>
                <w:sz w:val="18"/>
                <w:szCs w:val="18"/>
              </w:rPr>
              <w:t>$678.17</w:t>
            </w:r>
          </w:p>
        </w:tc>
      </w:tr>
      <w:tr w:rsidR="00D5351D" w:rsidRPr="00FC76DD" w14:paraId="3AD3E8EB" w14:textId="77777777" w:rsidTr="00AD642E">
        <w:trPr>
          <w:trHeight w:val="174"/>
        </w:trPr>
        <w:tc>
          <w:tcPr>
            <w:tcW w:w="3734" w:type="dxa"/>
            <w:tcBorders>
              <w:top w:val="nil"/>
              <w:left w:val="single" w:sz="4" w:space="0" w:color="auto"/>
              <w:bottom w:val="single" w:sz="4" w:space="0" w:color="auto"/>
              <w:right w:val="single" w:sz="4" w:space="0" w:color="auto"/>
            </w:tcBorders>
            <w:shd w:val="clear" w:color="auto" w:fill="auto"/>
            <w:vAlign w:val="center"/>
            <w:hideMark/>
          </w:tcPr>
          <w:p w14:paraId="7504C96F" w14:textId="77777777" w:rsidR="00D5351D" w:rsidRPr="00FC76DD" w:rsidRDefault="00D5351D" w:rsidP="000D2A58">
            <w:pPr>
              <w:rPr>
                <w:rFonts w:eastAsia="Times New Roman" w:cs="Calibri Light"/>
                <w:sz w:val="18"/>
                <w:szCs w:val="18"/>
              </w:rPr>
            </w:pPr>
            <w:r w:rsidRPr="00FC76DD">
              <w:rPr>
                <w:rFonts w:eastAsia="Times New Roman" w:cs="Calibri Light"/>
                <w:sz w:val="18"/>
                <w:szCs w:val="18"/>
              </w:rPr>
              <w:lastRenderedPageBreak/>
              <w:t>Install: Mini-Split Heat Pump, tube / wiring kit, 50'</w:t>
            </w:r>
          </w:p>
        </w:tc>
        <w:tc>
          <w:tcPr>
            <w:tcW w:w="1010" w:type="dxa"/>
            <w:tcBorders>
              <w:top w:val="nil"/>
              <w:left w:val="nil"/>
              <w:bottom w:val="single" w:sz="4" w:space="0" w:color="auto"/>
              <w:right w:val="single" w:sz="4" w:space="0" w:color="auto"/>
            </w:tcBorders>
            <w:shd w:val="clear" w:color="auto" w:fill="auto"/>
            <w:noWrap/>
            <w:vAlign w:val="center"/>
            <w:hideMark/>
          </w:tcPr>
          <w:p w14:paraId="53B0AEA5" w14:textId="77777777" w:rsidR="00D5351D" w:rsidRPr="00FC76DD" w:rsidRDefault="00D5351D" w:rsidP="000D2A58">
            <w:pPr>
              <w:jc w:val="center"/>
              <w:rPr>
                <w:rFonts w:eastAsia="Times New Roman" w:cs="Calibri Light"/>
                <w:sz w:val="18"/>
                <w:szCs w:val="18"/>
              </w:rPr>
            </w:pPr>
            <w:r w:rsidRPr="00FC76DD">
              <w:rPr>
                <w:rFonts w:eastAsia="Times New Roman" w:cs="Calibri Light"/>
                <w:sz w:val="18"/>
                <w:szCs w:val="18"/>
              </w:rPr>
              <w:t>0.800</w:t>
            </w:r>
          </w:p>
        </w:tc>
        <w:tc>
          <w:tcPr>
            <w:tcW w:w="1010" w:type="dxa"/>
            <w:tcBorders>
              <w:top w:val="nil"/>
              <w:left w:val="nil"/>
              <w:bottom w:val="single" w:sz="4" w:space="0" w:color="auto"/>
              <w:right w:val="single" w:sz="4" w:space="0" w:color="auto"/>
            </w:tcBorders>
            <w:shd w:val="clear" w:color="auto" w:fill="auto"/>
            <w:noWrap/>
            <w:vAlign w:val="center"/>
            <w:hideMark/>
          </w:tcPr>
          <w:p w14:paraId="3C28CB94" w14:textId="77777777" w:rsidR="00D5351D" w:rsidRPr="00FC76DD" w:rsidRDefault="00D5351D" w:rsidP="000D2A58">
            <w:pPr>
              <w:jc w:val="center"/>
              <w:rPr>
                <w:rFonts w:eastAsia="Times New Roman" w:cs="Calibri Light"/>
                <w:sz w:val="18"/>
                <w:szCs w:val="18"/>
              </w:rPr>
            </w:pPr>
            <w:r w:rsidRPr="00FC76DD">
              <w:rPr>
                <w:rFonts w:eastAsia="Times New Roman" w:cs="Calibri Light"/>
                <w:sz w:val="18"/>
                <w:szCs w:val="18"/>
              </w:rPr>
              <w:t>0.800</w:t>
            </w:r>
          </w:p>
        </w:tc>
        <w:tc>
          <w:tcPr>
            <w:tcW w:w="1212" w:type="dxa"/>
            <w:tcBorders>
              <w:top w:val="nil"/>
              <w:left w:val="nil"/>
              <w:bottom w:val="single" w:sz="4" w:space="0" w:color="auto"/>
              <w:right w:val="single" w:sz="4" w:space="0" w:color="auto"/>
            </w:tcBorders>
            <w:shd w:val="clear" w:color="auto" w:fill="auto"/>
            <w:noWrap/>
            <w:vAlign w:val="center"/>
            <w:hideMark/>
          </w:tcPr>
          <w:p w14:paraId="0416CC3A" w14:textId="77777777" w:rsidR="00D5351D" w:rsidRPr="00FC76DD" w:rsidRDefault="00D5351D" w:rsidP="000D2A58">
            <w:pPr>
              <w:jc w:val="center"/>
              <w:rPr>
                <w:rFonts w:eastAsia="Times New Roman" w:cs="Calibri Light"/>
                <w:sz w:val="18"/>
                <w:szCs w:val="18"/>
              </w:rPr>
            </w:pPr>
            <w:r w:rsidRPr="00FC76DD">
              <w:rPr>
                <w:rFonts w:eastAsia="Times New Roman" w:cs="Calibri Light"/>
                <w:sz w:val="18"/>
                <w:szCs w:val="18"/>
              </w:rPr>
              <w:t>0.800</w:t>
            </w:r>
          </w:p>
        </w:tc>
        <w:tc>
          <w:tcPr>
            <w:tcW w:w="1359" w:type="dxa"/>
            <w:tcBorders>
              <w:top w:val="nil"/>
              <w:left w:val="nil"/>
              <w:bottom w:val="single" w:sz="4" w:space="0" w:color="auto"/>
              <w:right w:val="single" w:sz="4" w:space="0" w:color="auto"/>
            </w:tcBorders>
            <w:shd w:val="clear" w:color="auto" w:fill="auto"/>
            <w:noWrap/>
            <w:vAlign w:val="center"/>
            <w:hideMark/>
          </w:tcPr>
          <w:p w14:paraId="79A59047" w14:textId="77777777" w:rsidR="00D5351D" w:rsidRPr="00FC76DD" w:rsidRDefault="00D5351D" w:rsidP="000D2A58">
            <w:pPr>
              <w:jc w:val="center"/>
              <w:rPr>
                <w:rFonts w:eastAsia="Times New Roman" w:cs="Calibri Light"/>
                <w:sz w:val="18"/>
                <w:szCs w:val="18"/>
              </w:rPr>
            </w:pPr>
            <w:r w:rsidRPr="00FC76DD">
              <w:rPr>
                <w:rFonts w:eastAsia="Times New Roman" w:cs="Calibri Light"/>
                <w:sz w:val="18"/>
                <w:szCs w:val="18"/>
              </w:rPr>
              <w:t>$67.55</w:t>
            </w:r>
          </w:p>
        </w:tc>
        <w:tc>
          <w:tcPr>
            <w:tcW w:w="1242" w:type="dxa"/>
            <w:tcBorders>
              <w:top w:val="nil"/>
              <w:left w:val="nil"/>
              <w:bottom w:val="single" w:sz="4" w:space="0" w:color="auto"/>
              <w:right w:val="single" w:sz="4" w:space="0" w:color="auto"/>
            </w:tcBorders>
            <w:shd w:val="clear" w:color="auto" w:fill="auto"/>
            <w:noWrap/>
            <w:vAlign w:val="center"/>
            <w:hideMark/>
          </w:tcPr>
          <w:p w14:paraId="5F9CF15F" w14:textId="77777777" w:rsidR="00D5351D" w:rsidRPr="00FC76DD" w:rsidRDefault="00D5351D" w:rsidP="000D2A58">
            <w:pPr>
              <w:jc w:val="center"/>
              <w:rPr>
                <w:rFonts w:eastAsia="Times New Roman" w:cs="Calibri Light"/>
                <w:sz w:val="18"/>
                <w:szCs w:val="18"/>
              </w:rPr>
            </w:pPr>
            <w:r w:rsidRPr="00FC76DD">
              <w:rPr>
                <w:rFonts w:eastAsia="Times New Roman" w:cs="Calibri Light"/>
                <w:sz w:val="18"/>
                <w:szCs w:val="18"/>
              </w:rPr>
              <w:t>$54.04</w:t>
            </w:r>
          </w:p>
        </w:tc>
      </w:tr>
      <w:tr w:rsidR="00D5351D" w:rsidRPr="00FC76DD" w14:paraId="5C014036" w14:textId="77777777" w:rsidTr="00AD642E">
        <w:trPr>
          <w:trHeight w:val="350"/>
        </w:trPr>
        <w:tc>
          <w:tcPr>
            <w:tcW w:w="3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B407B" w14:textId="77777777" w:rsidR="00D5351D" w:rsidRPr="00FC76DD" w:rsidRDefault="00D5351D" w:rsidP="000D2A58">
            <w:pPr>
              <w:rPr>
                <w:rFonts w:eastAsia="Times New Roman" w:cs="Calibri Light"/>
                <w:sz w:val="18"/>
                <w:szCs w:val="18"/>
              </w:rPr>
            </w:pPr>
            <w:r w:rsidRPr="00FC76DD">
              <w:rPr>
                <w:rFonts w:eastAsia="Times New Roman" w:cs="Calibri Light"/>
                <w:sz w:val="18"/>
                <w:szCs w:val="18"/>
              </w:rPr>
              <w:t>Install: Condensing Unit Pad prefabricated, fiberglass reinforced concrete with polystyrene foam core, 2” thick, 24”x42”</w:t>
            </w:r>
          </w:p>
        </w:tc>
        <w:tc>
          <w:tcPr>
            <w:tcW w:w="1010" w:type="dxa"/>
            <w:tcBorders>
              <w:top w:val="single" w:sz="4" w:space="0" w:color="auto"/>
              <w:left w:val="nil"/>
              <w:bottom w:val="single" w:sz="4" w:space="0" w:color="auto"/>
              <w:right w:val="single" w:sz="4" w:space="0" w:color="auto"/>
            </w:tcBorders>
            <w:shd w:val="clear" w:color="auto" w:fill="auto"/>
            <w:noWrap/>
            <w:vAlign w:val="center"/>
            <w:hideMark/>
          </w:tcPr>
          <w:p w14:paraId="5505A8F7" w14:textId="77777777" w:rsidR="00D5351D" w:rsidRPr="00FC76DD" w:rsidRDefault="00D5351D" w:rsidP="000D2A58">
            <w:pPr>
              <w:jc w:val="center"/>
              <w:rPr>
                <w:rFonts w:eastAsia="Times New Roman" w:cs="Calibri Light"/>
                <w:sz w:val="18"/>
                <w:szCs w:val="18"/>
              </w:rPr>
            </w:pPr>
            <w:r w:rsidRPr="00FC76DD">
              <w:rPr>
                <w:rFonts w:eastAsia="Times New Roman" w:cs="Calibri Light"/>
                <w:sz w:val="18"/>
                <w:szCs w:val="18"/>
              </w:rPr>
              <w:t>1.000</w:t>
            </w:r>
          </w:p>
        </w:tc>
        <w:tc>
          <w:tcPr>
            <w:tcW w:w="1010" w:type="dxa"/>
            <w:tcBorders>
              <w:top w:val="single" w:sz="4" w:space="0" w:color="auto"/>
              <w:left w:val="nil"/>
              <w:bottom w:val="single" w:sz="4" w:space="0" w:color="auto"/>
              <w:right w:val="single" w:sz="4" w:space="0" w:color="auto"/>
            </w:tcBorders>
            <w:shd w:val="clear" w:color="auto" w:fill="auto"/>
            <w:noWrap/>
            <w:vAlign w:val="center"/>
            <w:hideMark/>
          </w:tcPr>
          <w:p w14:paraId="552FF65A" w14:textId="77777777" w:rsidR="00D5351D" w:rsidRPr="00FC76DD" w:rsidRDefault="00D5351D" w:rsidP="000D2A58">
            <w:pPr>
              <w:jc w:val="center"/>
              <w:rPr>
                <w:rFonts w:eastAsia="Times New Roman" w:cs="Calibri Light"/>
                <w:sz w:val="18"/>
                <w:szCs w:val="18"/>
              </w:rPr>
            </w:pPr>
            <w:r w:rsidRPr="00FC76DD">
              <w:rPr>
                <w:rFonts w:eastAsia="Times New Roman" w:cs="Calibri Light"/>
                <w:sz w:val="18"/>
                <w:szCs w:val="18"/>
              </w:rPr>
              <w:t>1.000</w:t>
            </w:r>
          </w:p>
        </w:tc>
        <w:tc>
          <w:tcPr>
            <w:tcW w:w="1212" w:type="dxa"/>
            <w:tcBorders>
              <w:top w:val="single" w:sz="4" w:space="0" w:color="auto"/>
              <w:left w:val="nil"/>
              <w:bottom w:val="single" w:sz="4" w:space="0" w:color="auto"/>
              <w:right w:val="single" w:sz="4" w:space="0" w:color="auto"/>
            </w:tcBorders>
            <w:shd w:val="clear" w:color="auto" w:fill="auto"/>
            <w:noWrap/>
            <w:vAlign w:val="center"/>
            <w:hideMark/>
          </w:tcPr>
          <w:p w14:paraId="2C0AC6BE" w14:textId="77777777" w:rsidR="00D5351D" w:rsidRPr="00FC76DD" w:rsidRDefault="00D5351D" w:rsidP="000D2A58">
            <w:pPr>
              <w:jc w:val="center"/>
              <w:rPr>
                <w:rFonts w:eastAsia="Times New Roman" w:cs="Calibri Light"/>
                <w:sz w:val="18"/>
                <w:szCs w:val="18"/>
              </w:rPr>
            </w:pPr>
            <w:r w:rsidRPr="00FC76DD">
              <w:rPr>
                <w:rFonts w:eastAsia="Times New Roman" w:cs="Calibri Light"/>
                <w:sz w:val="18"/>
                <w:szCs w:val="18"/>
              </w:rPr>
              <w:t>1.000</w:t>
            </w:r>
          </w:p>
        </w:tc>
        <w:tc>
          <w:tcPr>
            <w:tcW w:w="1359" w:type="dxa"/>
            <w:tcBorders>
              <w:top w:val="single" w:sz="4" w:space="0" w:color="auto"/>
              <w:left w:val="nil"/>
              <w:bottom w:val="single" w:sz="4" w:space="0" w:color="auto"/>
              <w:right w:val="single" w:sz="4" w:space="0" w:color="auto"/>
            </w:tcBorders>
            <w:shd w:val="clear" w:color="auto" w:fill="auto"/>
            <w:noWrap/>
            <w:vAlign w:val="center"/>
            <w:hideMark/>
          </w:tcPr>
          <w:p w14:paraId="34773E04" w14:textId="77777777" w:rsidR="00D5351D" w:rsidRPr="00FC76DD" w:rsidRDefault="00D5351D" w:rsidP="000D2A58">
            <w:pPr>
              <w:jc w:val="center"/>
              <w:rPr>
                <w:rFonts w:eastAsia="Times New Roman" w:cs="Calibri Light"/>
                <w:sz w:val="18"/>
                <w:szCs w:val="18"/>
              </w:rPr>
            </w:pPr>
            <w:r w:rsidRPr="00FC76DD">
              <w:rPr>
                <w:rFonts w:eastAsia="Times New Roman" w:cs="Calibri Light"/>
                <w:sz w:val="18"/>
                <w:szCs w:val="18"/>
              </w:rPr>
              <w:t>$67.55</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14:paraId="5D92F4DF" w14:textId="77777777" w:rsidR="00D5351D" w:rsidRPr="00FC76DD" w:rsidRDefault="00D5351D" w:rsidP="000D2A58">
            <w:pPr>
              <w:jc w:val="center"/>
              <w:rPr>
                <w:rFonts w:eastAsia="Times New Roman" w:cs="Calibri Light"/>
                <w:sz w:val="18"/>
                <w:szCs w:val="18"/>
              </w:rPr>
            </w:pPr>
            <w:r w:rsidRPr="00FC76DD">
              <w:rPr>
                <w:rFonts w:eastAsia="Times New Roman" w:cs="Calibri Light"/>
                <w:sz w:val="18"/>
                <w:szCs w:val="18"/>
              </w:rPr>
              <w:t>$67.55</w:t>
            </w:r>
          </w:p>
        </w:tc>
      </w:tr>
      <w:tr w:rsidR="00D5351D" w:rsidRPr="00FC76DD" w14:paraId="626EA1AC" w14:textId="77777777" w:rsidTr="00AD642E">
        <w:trPr>
          <w:trHeight w:val="350"/>
        </w:trPr>
        <w:tc>
          <w:tcPr>
            <w:tcW w:w="3734" w:type="dxa"/>
            <w:tcBorders>
              <w:top w:val="single" w:sz="4" w:space="0" w:color="auto"/>
              <w:left w:val="single" w:sz="4" w:space="0" w:color="auto"/>
              <w:bottom w:val="single" w:sz="4" w:space="0" w:color="auto"/>
              <w:right w:val="single" w:sz="4" w:space="0" w:color="auto"/>
            </w:tcBorders>
            <w:shd w:val="clear" w:color="auto" w:fill="auto"/>
            <w:vAlign w:val="center"/>
          </w:tcPr>
          <w:p w14:paraId="7DED8083" w14:textId="5811F336" w:rsidR="00D5351D" w:rsidRPr="00FC76DD" w:rsidRDefault="00D5351D" w:rsidP="00D5351D">
            <w:pPr>
              <w:rPr>
                <w:rFonts w:eastAsia="Times New Roman" w:cs="Calibri Light"/>
                <w:sz w:val="18"/>
                <w:szCs w:val="18"/>
              </w:rPr>
            </w:pPr>
            <w:r>
              <w:rPr>
                <w:rFonts w:eastAsia="Times New Roman" w:cs="Calibri Light"/>
                <w:sz w:val="18"/>
                <w:szCs w:val="18"/>
              </w:rPr>
              <w:t>Total</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1B680AB8" w14:textId="77777777" w:rsidR="00D5351D" w:rsidRPr="00FC76DD" w:rsidRDefault="00D5351D" w:rsidP="00D5351D">
            <w:pPr>
              <w:jc w:val="center"/>
              <w:rPr>
                <w:rFonts w:eastAsia="Times New Roman" w:cs="Calibri Light"/>
                <w:sz w:val="18"/>
                <w:szCs w:val="18"/>
              </w:rPr>
            </w:pP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016FE254" w14:textId="77777777" w:rsidR="00D5351D" w:rsidRPr="00FC76DD" w:rsidRDefault="00D5351D" w:rsidP="00D5351D">
            <w:pPr>
              <w:jc w:val="center"/>
              <w:rPr>
                <w:rFonts w:eastAsia="Times New Roman" w:cs="Calibri Light"/>
                <w:sz w:val="18"/>
                <w:szCs w:val="18"/>
              </w:rPr>
            </w:pPr>
          </w:p>
        </w:tc>
        <w:tc>
          <w:tcPr>
            <w:tcW w:w="1212" w:type="dxa"/>
            <w:tcBorders>
              <w:top w:val="single" w:sz="4" w:space="0" w:color="auto"/>
              <w:left w:val="nil"/>
              <w:bottom w:val="single" w:sz="4" w:space="0" w:color="auto"/>
              <w:right w:val="single" w:sz="4" w:space="0" w:color="auto"/>
            </w:tcBorders>
            <w:shd w:val="clear" w:color="auto" w:fill="auto"/>
            <w:noWrap/>
            <w:vAlign w:val="center"/>
          </w:tcPr>
          <w:p w14:paraId="3C4A6DCF" w14:textId="77777777" w:rsidR="00D5351D" w:rsidRPr="00FC76DD" w:rsidRDefault="00D5351D" w:rsidP="00D5351D">
            <w:pPr>
              <w:jc w:val="center"/>
              <w:rPr>
                <w:rFonts w:eastAsia="Times New Roman" w:cs="Calibri Light"/>
                <w:sz w:val="18"/>
                <w:szCs w:val="18"/>
              </w:rPr>
            </w:pPr>
          </w:p>
        </w:tc>
        <w:tc>
          <w:tcPr>
            <w:tcW w:w="1359" w:type="dxa"/>
            <w:tcBorders>
              <w:top w:val="single" w:sz="4" w:space="0" w:color="auto"/>
              <w:left w:val="nil"/>
              <w:bottom w:val="single" w:sz="4" w:space="0" w:color="auto"/>
              <w:right w:val="single" w:sz="4" w:space="0" w:color="auto"/>
            </w:tcBorders>
            <w:shd w:val="clear" w:color="auto" w:fill="auto"/>
            <w:noWrap/>
            <w:vAlign w:val="center"/>
          </w:tcPr>
          <w:p w14:paraId="0E636802" w14:textId="77777777" w:rsidR="00D5351D" w:rsidRPr="00FC76DD" w:rsidRDefault="00D5351D" w:rsidP="00D5351D">
            <w:pPr>
              <w:jc w:val="center"/>
              <w:rPr>
                <w:rFonts w:eastAsia="Times New Roman" w:cs="Calibri Light"/>
                <w:sz w:val="18"/>
                <w:szCs w:val="18"/>
              </w:rPr>
            </w:pPr>
          </w:p>
        </w:tc>
        <w:tc>
          <w:tcPr>
            <w:tcW w:w="1242" w:type="dxa"/>
            <w:tcBorders>
              <w:top w:val="single" w:sz="4" w:space="0" w:color="auto"/>
              <w:left w:val="nil"/>
              <w:bottom w:val="single" w:sz="4" w:space="0" w:color="auto"/>
              <w:right w:val="single" w:sz="4" w:space="0" w:color="auto"/>
            </w:tcBorders>
            <w:shd w:val="clear" w:color="auto" w:fill="auto"/>
            <w:noWrap/>
            <w:vAlign w:val="center"/>
          </w:tcPr>
          <w:p w14:paraId="1699D073" w14:textId="1638E898" w:rsidR="00D5351D" w:rsidRPr="00FC76DD" w:rsidRDefault="00D5351D" w:rsidP="00D5351D">
            <w:pPr>
              <w:jc w:val="center"/>
              <w:rPr>
                <w:rFonts w:eastAsia="Times New Roman" w:cs="Calibri Light"/>
                <w:sz w:val="18"/>
                <w:szCs w:val="18"/>
              </w:rPr>
            </w:pPr>
            <w:r w:rsidRPr="0065793B">
              <w:rPr>
                <w:rFonts w:asciiTheme="majorHAnsi" w:hAnsiTheme="majorHAnsi" w:cstheme="majorHAnsi"/>
                <w:color w:val="000000"/>
                <w:sz w:val="18"/>
                <w:szCs w:val="18"/>
              </w:rPr>
              <w:t>$</w:t>
            </w:r>
            <w:r>
              <w:rPr>
                <w:rFonts w:asciiTheme="majorHAnsi" w:hAnsiTheme="majorHAnsi" w:cstheme="majorHAnsi"/>
                <w:color w:val="000000"/>
                <w:sz w:val="18"/>
                <w:szCs w:val="18"/>
              </w:rPr>
              <w:t>799.76</w:t>
            </w:r>
          </w:p>
        </w:tc>
      </w:tr>
      <w:tr w:rsidR="00D5351D" w:rsidRPr="00FC76DD" w14:paraId="48FAA877" w14:textId="77777777" w:rsidTr="00AD642E">
        <w:trPr>
          <w:trHeight w:val="350"/>
        </w:trPr>
        <w:tc>
          <w:tcPr>
            <w:tcW w:w="3734" w:type="dxa"/>
            <w:tcBorders>
              <w:top w:val="single" w:sz="4" w:space="0" w:color="auto"/>
              <w:left w:val="single" w:sz="4" w:space="0" w:color="auto"/>
              <w:bottom w:val="single" w:sz="4" w:space="0" w:color="auto"/>
              <w:right w:val="single" w:sz="4" w:space="0" w:color="auto"/>
            </w:tcBorders>
            <w:shd w:val="clear" w:color="auto" w:fill="auto"/>
            <w:vAlign w:val="center"/>
          </w:tcPr>
          <w:p w14:paraId="2BA5B57E" w14:textId="6665149F" w:rsidR="00D5351D" w:rsidRDefault="00D5351D" w:rsidP="00D5351D">
            <w:pPr>
              <w:rPr>
                <w:rFonts w:eastAsia="Times New Roman" w:cs="Calibri Light"/>
                <w:sz w:val="18"/>
                <w:szCs w:val="18"/>
              </w:rPr>
            </w:pPr>
            <w:r>
              <w:rPr>
                <w:rFonts w:eastAsia="Times New Roman" w:cs="Calibri Light"/>
                <w:sz w:val="18"/>
                <w:szCs w:val="18"/>
              </w:rPr>
              <w:t>Total Normalized Cost</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0F307F03" w14:textId="77777777" w:rsidR="00D5351D" w:rsidRPr="00FC76DD" w:rsidRDefault="00D5351D" w:rsidP="00D5351D">
            <w:pPr>
              <w:jc w:val="center"/>
              <w:rPr>
                <w:rFonts w:eastAsia="Times New Roman" w:cs="Calibri Light"/>
                <w:sz w:val="18"/>
                <w:szCs w:val="18"/>
              </w:rPr>
            </w:pP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52856091" w14:textId="77777777" w:rsidR="00D5351D" w:rsidRPr="00FC76DD" w:rsidRDefault="00D5351D" w:rsidP="00D5351D">
            <w:pPr>
              <w:jc w:val="center"/>
              <w:rPr>
                <w:rFonts w:eastAsia="Times New Roman" w:cs="Calibri Light"/>
                <w:sz w:val="18"/>
                <w:szCs w:val="18"/>
              </w:rPr>
            </w:pPr>
          </w:p>
        </w:tc>
        <w:tc>
          <w:tcPr>
            <w:tcW w:w="1212" w:type="dxa"/>
            <w:tcBorders>
              <w:top w:val="single" w:sz="4" w:space="0" w:color="auto"/>
              <w:left w:val="nil"/>
              <w:bottom w:val="single" w:sz="4" w:space="0" w:color="auto"/>
              <w:right w:val="single" w:sz="4" w:space="0" w:color="auto"/>
            </w:tcBorders>
            <w:shd w:val="clear" w:color="auto" w:fill="auto"/>
            <w:noWrap/>
            <w:vAlign w:val="center"/>
          </w:tcPr>
          <w:p w14:paraId="61D689A5" w14:textId="77777777" w:rsidR="00D5351D" w:rsidRPr="00FC76DD" w:rsidRDefault="00D5351D" w:rsidP="00D5351D">
            <w:pPr>
              <w:jc w:val="center"/>
              <w:rPr>
                <w:rFonts w:eastAsia="Times New Roman" w:cs="Calibri Light"/>
                <w:sz w:val="18"/>
                <w:szCs w:val="18"/>
              </w:rPr>
            </w:pPr>
          </w:p>
        </w:tc>
        <w:tc>
          <w:tcPr>
            <w:tcW w:w="1359" w:type="dxa"/>
            <w:tcBorders>
              <w:top w:val="single" w:sz="4" w:space="0" w:color="auto"/>
              <w:left w:val="nil"/>
              <w:bottom w:val="single" w:sz="4" w:space="0" w:color="auto"/>
              <w:right w:val="single" w:sz="4" w:space="0" w:color="auto"/>
            </w:tcBorders>
            <w:shd w:val="clear" w:color="auto" w:fill="auto"/>
            <w:noWrap/>
            <w:vAlign w:val="center"/>
          </w:tcPr>
          <w:p w14:paraId="7E6B5927" w14:textId="77777777" w:rsidR="00D5351D" w:rsidRPr="00FC76DD" w:rsidRDefault="00D5351D" w:rsidP="00D5351D">
            <w:pPr>
              <w:jc w:val="center"/>
              <w:rPr>
                <w:rFonts w:eastAsia="Times New Roman" w:cs="Calibri Light"/>
                <w:sz w:val="18"/>
                <w:szCs w:val="18"/>
              </w:rPr>
            </w:pPr>
          </w:p>
        </w:tc>
        <w:tc>
          <w:tcPr>
            <w:tcW w:w="1242" w:type="dxa"/>
            <w:tcBorders>
              <w:top w:val="single" w:sz="4" w:space="0" w:color="auto"/>
              <w:left w:val="nil"/>
              <w:bottom w:val="single" w:sz="4" w:space="0" w:color="auto"/>
              <w:right w:val="single" w:sz="4" w:space="0" w:color="auto"/>
            </w:tcBorders>
            <w:shd w:val="clear" w:color="auto" w:fill="auto"/>
            <w:noWrap/>
            <w:vAlign w:val="center"/>
          </w:tcPr>
          <w:p w14:paraId="774821AE" w14:textId="203FD474" w:rsidR="00D5351D" w:rsidRPr="00FC76DD" w:rsidRDefault="00D5351D" w:rsidP="00D5351D">
            <w:pPr>
              <w:jc w:val="center"/>
              <w:rPr>
                <w:rFonts w:eastAsia="Times New Roman" w:cs="Calibri Light"/>
                <w:sz w:val="18"/>
                <w:szCs w:val="18"/>
              </w:rPr>
            </w:pPr>
            <w:r w:rsidRPr="0065793B">
              <w:rPr>
                <w:rFonts w:asciiTheme="majorHAnsi" w:hAnsiTheme="majorHAnsi" w:cstheme="majorHAnsi"/>
                <w:color w:val="000000"/>
                <w:sz w:val="18"/>
                <w:szCs w:val="18"/>
              </w:rPr>
              <w:t>$</w:t>
            </w:r>
            <w:r>
              <w:rPr>
                <w:rFonts w:asciiTheme="majorHAnsi" w:hAnsiTheme="majorHAnsi" w:cstheme="majorHAnsi"/>
                <w:color w:val="000000"/>
                <w:sz w:val="18"/>
                <w:szCs w:val="18"/>
              </w:rPr>
              <w:t>533.17</w:t>
            </w:r>
          </w:p>
        </w:tc>
      </w:tr>
    </w:tbl>
    <w:p w14:paraId="4739CF62" w14:textId="77777777" w:rsidR="008B3E65" w:rsidRPr="00C6243E" w:rsidRDefault="008B3E65" w:rsidP="00B13E72">
      <w:pPr>
        <w:jc w:val="both"/>
        <w:rPr>
          <w:rFonts w:cs="Calibri Light"/>
        </w:rPr>
      </w:pPr>
    </w:p>
    <w:p w14:paraId="6F6DBE39" w14:textId="77777777" w:rsidR="00375BD8" w:rsidRPr="00C6243E" w:rsidRDefault="00375BD8" w:rsidP="00B13E72">
      <w:pPr>
        <w:pStyle w:val="eTRMHeading3"/>
        <w:jc w:val="both"/>
        <w:rPr>
          <w:rFonts w:cs="Calibri Light"/>
        </w:rPr>
      </w:pPr>
      <w:bookmarkStart w:id="65" w:name="_Toc486490863"/>
      <w:bookmarkStart w:id="66" w:name="_Toc486580934"/>
      <w:bookmarkStart w:id="67" w:name="_Toc64561073"/>
      <w:r w:rsidRPr="00C6243E">
        <w:rPr>
          <w:rFonts w:cs="Calibri Light"/>
        </w:rPr>
        <w:t>Net-to-Gross</w:t>
      </w:r>
      <w:bookmarkEnd w:id="65"/>
      <w:bookmarkEnd w:id="66"/>
      <w:r w:rsidRPr="00C6243E">
        <w:rPr>
          <w:rFonts w:cs="Calibri Light"/>
        </w:rPr>
        <w:t xml:space="preserve"> (NTG)</w:t>
      </w:r>
      <w:bookmarkEnd w:id="67"/>
    </w:p>
    <w:p w14:paraId="596412B1" w14:textId="77777777" w:rsidR="00E20381" w:rsidRDefault="00E20381" w:rsidP="00E20381">
      <w:pPr>
        <w:rPr>
          <w:szCs w:val="22"/>
        </w:rPr>
      </w:pPr>
      <w:r w:rsidRPr="00F7114F">
        <w:rPr>
          <w:szCs w:val="22"/>
        </w:rPr>
        <w:t xml:space="preserve">The net-to-gross (NTG) ratio represents the portion of gross impacts that are determined to be directly attributed to a specific program intervention. Based on the CPUC’s Fuel Substitution Technical Guidance for Energy </w:t>
      </w:r>
      <w:r>
        <w:rPr>
          <w:rFonts w:cs="Calibri Light"/>
        </w:rPr>
        <w:t>Efficiency</w:t>
      </w:r>
      <w:r>
        <w:rPr>
          <w:rStyle w:val="FootnoteReference"/>
          <w:rFonts w:cs="Calibri Light"/>
        </w:rPr>
        <w:footnoteReference w:id="36"/>
      </w:r>
      <w:r>
        <w:rPr>
          <w:rFonts w:cs="Calibri Light"/>
        </w:rPr>
        <w:t xml:space="preserve"> </w:t>
      </w:r>
      <w:r w:rsidRPr="00F7114F">
        <w:rPr>
          <w:szCs w:val="22"/>
        </w:rPr>
        <w:t xml:space="preserve">document, the value below should be used for fuel substitution measures until further data is available.  </w:t>
      </w:r>
    </w:p>
    <w:p w14:paraId="65B8F160" w14:textId="77777777" w:rsidR="00375BD8" w:rsidRPr="00C6243E" w:rsidRDefault="00375BD8" w:rsidP="00E20381">
      <w:pPr>
        <w:pStyle w:val="Caption"/>
      </w:pPr>
      <w:r w:rsidRPr="00C6243E">
        <w:t>Net-to-Gross Ratios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145"/>
        <w:gridCol w:w="1890"/>
        <w:gridCol w:w="4410"/>
      </w:tblGrid>
      <w:tr w:rsidR="00375BD8" w:rsidRPr="00C6243E" w14:paraId="3C2867D8" w14:textId="77777777" w:rsidTr="0002472B">
        <w:trPr>
          <w:cantSplit/>
          <w:trHeight w:val="20"/>
        </w:trPr>
        <w:tc>
          <w:tcPr>
            <w:tcW w:w="3145" w:type="dxa"/>
            <w:shd w:val="clear" w:color="000000" w:fill="F2F2F2" w:themeFill="background1" w:themeFillShade="F2"/>
            <w:vAlign w:val="bottom"/>
          </w:tcPr>
          <w:p w14:paraId="0310EBF6" w14:textId="77777777" w:rsidR="00375BD8" w:rsidRPr="00C6243E" w:rsidRDefault="00375BD8" w:rsidP="00B13E72">
            <w:pPr>
              <w:keepNext/>
              <w:keepLines/>
              <w:spacing w:before="0" w:after="0" w:line="200" w:lineRule="atLeast"/>
              <w:jc w:val="both"/>
              <w:rPr>
                <w:rFonts w:cs="Calibri Light"/>
                <w:b/>
                <w:color w:val="000000"/>
                <w:sz w:val="20"/>
                <w:szCs w:val="20"/>
              </w:rPr>
            </w:pPr>
            <w:r w:rsidRPr="00C6243E">
              <w:rPr>
                <w:rFonts w:cs="Calibri Light"/>
                <w:b/>
                <w:color w:val="000000"/>
                <w:sz w:val="20"/>
                <w:szCs w:val="20"/>
              </w:rPr>
              <w:t>Parameter</w:t>
            </w:r>
          </w:p>
        </w:tc>
        <w:tc>
          <w:tcPr>
            <w:tcW w:w="1890" w:type="dxa"/>
            <w:shd w:val="clear" w:color="000000" w:fill="F2F2F2" w:themeFill="background1" w:themeFillShade="F2"/>
            <w:vAlign w:val="bottom"/>
          </w:tcPr>
          <w:p w14:paraId="3B38E80D" w14:textId="77777777" w:rsidR="00375BD8" w:rsidRPr="00C6243E" w:rsidRDefault="00375BD8" w:rsidP="000A049B">
            <w:pPr>
              <w:keepNext/>
              <w:keepLines/>
              <w:spacing w:before="0" w:after="0" w:line="200" w:lineRule="atLeast"/>
              <w:jc w:val="center"/>
              <w:rPr>
                <w:rFonts w:cs="Calibri Light"/>
                <w:b/>
                <w:color w:val="000000"/>
                <w:sz w:val="20"/>
                <w:szCs w:val="20"/>
              </w:rPr>
            </w:pPr>
            <w:r w:rsidRPr="00C6243E">
              <w:rPr>
                <w:rFonts w:cs="Calibri Light"/>
                <w:b/>
                <w:color w:val="000000"/>
                <w:sz w:val="20"/>
                <w:szCs w:val="20"/>
              </w:rPr>
              <w:t>Value</w:t>
            </w:r>
          </w:p>
        </w:tc>
        <w:tc>
          <w:tcPr>
            <w:tcW w:w="4410" w:type="dxa"/>
            <w:shd w:val="clear" w:color="000000" w:fill="F2F2F2" w:themeFill="background1" w:themeFillShade="F2"/>
          </w:tcPr>
          <w:p w14:paraId="112B1099" w14:textId="77777777" w:rsidR="00375BD8" w:rsidRPr="00C6243E" w:rsidRDefault="00375BD8" w:rsidP="000A049B">
            <w:pPr>
              <w:keepNext/>
              <w:keepLines/>
              <w:spacing w:before="0" w:after="0" w:line="200" w:lineRule="atLeast"/>
              <w:jc w:val="center"/>
              <w:rPr>
                <w:rFonts w:cs="Calibri Light"/>
                <w:b/>
                <w:color w:val="000000"/>
                <w:sz w:val="20"/>
                <w:szCs w:val="20"/>
              </w:rPr>
            </w:pPr>
            <w:r w:rsidRPr="00C6243E">
              <w:rPr>
                <w:rFonts w:cs="Calibri Light"/>
                <w:b/>
                <w:color w:val="000000"/>
                <w:sz w:val="20"/>
                <w:szCs w:val="20"/>
              </w:rPr>
              <w:t>Source</w:t>
            </w:r>
          </w:p>
        </w:tc>
      </w:tr>
      <w:tr w:rsidR="002E6BF8" w:rsidRPr="00C6243E" w14:paraId="7C70522D" w14:textId="77777777" w:rsidTr="0002472B">
        <w:trPr>
          <w:cantSplit/>
          <w:trHeight w:val="20"/>
        </w:trPr>
        <w:tc>
          <w:tcPr>
            <w:tcW w:w="3145" w:type="dxa"/>
            <w:vAlign w:val="center"/>
          </w:tcPr>
          <w:p w14:paraId="75248E06" w14:textId="1D96B517" w:rsidR="002E6BF8" w:rsidRPr="00C6243E" w:rsidRDefault="00994F9F" w:rsidP="00B13E72">
            <w:pPr>
              <w:keepNext/>
              <w:keepLines/>
              <w:spacing w:before="0" w:after="0" w:line="200" w:lineRule="atLeast"/>
              <w:jc w:val="both"/>
              <w:rPr>
                <w:rFonts w:cs="Calibri Light"/>
                <w:sz w:val="20"/>
                <w:szCs w:val="20"/>
              </w:rPr>
            </w:pPr>
            <w:r w:rsidRPr="00C6243E">
              <w:rPr>
                <w:rFonts w:cs="Calibri Light"/>
                <w:sz w:val="20"/>
                <w:szCs w:val="20"/>
              </w:rPr>
              <w:t xml:space="preserve">NTG – </w:t>
            </w:r>
            <w:r w:rsidRPr="003D6D1A">
              <w:rPr>
                <w:rFonts w:cs="Calibri Light"/>
                <w:sz w:val="20"/>
                <w:szCs w:val="20"/>
              </w:rPr>
              <w:t>FuelSubst-Default</w:t>
            </w:r>
          </w:p>
        </w:tc>
        <w:tc>
          <w:tcPr>
            <w:tcW w:w="1890" w:type="dxa"/>
            <w:shd w:val="clear" w:color="auto" w:fill="auto"/>
            <w:noWrap/>
            <w:vAlign w:val="center"/>
          </w:tcPr>
          <w:p w14:paraId="1669841A" w14:textId="77777777" w:rsidR="002E6BF8" w:rsidRPr="00C6243E" w:rsidRDefault="002E6BF8" w:rsidP="000A049B">
            <w:pPr>
              <w:keepNext/>
              <w:keepLines/>
              <w:spacing w:before="0" w:after="0" w:line="200" w:lineRule="atLeast"/>
              <w:jc w:val="center"/>
              <w:rPr>
                <w:rFonts w:cs="Calibri Light"/>
                <w:sz w:val="20"/>
                <w:szCs w:val="20"/>
              </w:rPr>
            </w:pPr>
            <w:r>
              <w:rPr>
                <w:rFonts w:cs="Calibri Light"/>
                <w:sz w:val="20"/>
                <w:szCs w:val="20"/>
              </w:rPr>
              <w:t>1.0</w:t>
            </w:r>
          </w:p>
        </w:tc>
        <w:tc>
          <w:tcPr>
            <w:tcW w:w="4410" w:type="dxa"/>
            <w:vAlign w:val="center"/>
          </w:tcPr>
          <w:p w14:paraId="47252FAE" w14:textId="5B00565C" w:rsidR="00994F9F" w:rsidRPr="00E30871" w:rsidRDefault="00994F9F" w:rsidP="00994F9F">
            <w:pPr>
              <w:keepNext/>
              <w:keepLines/>
              <w:spacing w:before="20" w:after="20"/>
              <w:rPr>
                <w:sz w:val="18"/>
              </w:rPr>
            </w:pPr>
            <w:r w:rsidRPr="00E30871">
              <w:rPr>
                <w:sz w:val="18"/>
              </w:rPr>
              <w:t xml:space="preserve">California Public Utilities Commission. 2019. Decision </w:t>
            </w:r>
            <w:r>
              <w:rPr>
                <w:sz w:val="18"/>
              </w:rPr>
              <w:t>19-08-009</w:t>
            </w:r>
            <w:r w:rsidRPr="00E30871">
              <w:rPr>
                <w:sz w:val="18"/>
              </w:rPr>
              <w:t>. And</w:t>
            </w:r>
          </w:p>
          <w:p w14:paraId="64F3EA4C" w14:textId="78A30105" w:rsidR="002E6BF8" w:rsidRPr="000A049B" w:rsidRDefault="00994F9F" w:rsidP="00994F9F">
            <w:pPr>
              <w:keepNext/>
              <w:keepLines/>
              <w:spacing w:before="20" w:after="20"/>
              <w:rPr>
                <w:sz w:val="18"/>
              </w:rPr>
            </w:pPr>
            <w:r w:rsidRPr="00E30871">
              <w:rPr>
                <w:sz w:val="18"/>
              </w:rPr>
              <w:t>California Public Utilities Commission. 2019. Fuel Substitution Technical Guidance for Energy Efficiency.</w:t>
            </w:r>
          </w:p>
        </w:tc>
      </w:tr>
    </w:tbl>
    <w:p w14:paraId="7C0D901D" w14:textId="77777777" w:rsidR="00375BD8" w:rsidRPr="00C6243E" w:rsidRDefault="00375BD8" w:rsidP="00B13E72">
      <w:pPr>
        <w:pStyle w:val="Normal1"/>
        <w:spacing w:before="40" w:after="40"/>
        <w:jc w:val="both"/>
        <w:rPr>
          <w:rFonts w:ascii="Calibri Light" w:hAnsi="Calibri Light" w:cs="Calibri Light"/>
        </w:rPr>
      </w:pPr>
    </w:p>
    <w:p w14:paraId="2F5EADD5" w14:textId="77777777" w:rsidR="00375BD8" w:rsidRPr="00C6243E" w:rsidRDefault="00375BD8" w:rsidP="00B13E72">
      <w:pPr>
        <w:pStyle w:val="eTRMHeading3"/>
        <w:jc w:val="both"/>
        <w:rPr>
          <w:rFonts w:cs="Calibri Light"/>
        </w:rPr>
      </w:pPr>
      <w:bookmarkStart w:id="68" w:name="_Toc486490864"/>
      <w:bookmarkStart w:id="69" w:name="_Toc486580935"/>
      <w:bookmarkStart w:id="70" w:name="_Toc64561074"/>
      <w:r w:rsidRPr="00C6243E">
        <w:rPr>
          <w:rFonts w:cs="Calibri Light"/>
        </w:rPr>
        <w:t>Gross Savings Installation Adjustment (GSIA</w:t>
      </w:r>
      <w:bookmarkEnd w:id="68"/>
      <w:bookmarkEnd w:id="69"/>
      <w:r w:rsidRPr="00C6243E">
        <w:rPr>
          <w:rFonts w:cs="Calibri Light"/>
        </w:rPr>
        <w:t>)</w:t>
      </w:r>
      <w:bookmarkEnd w:id="70"/>
    </w:p>
    <w:p w14:paraId="5E3FA39C" w14:textId="77777777" w:rsidR="00375BD8" w:rsidRPr="00C6243E" w:rsidRDefault="00375BD8" w:rsidP="00B13E72">
      <w:pPr>
        <w:jc w:val="both"/>
        <w:rPr>
          <w:rFonts w:cs="Calibri Light"/>
        </w:rPr>
      </w:pPr>
      <w:r w:rsidRPr="00C6243E">
        <w:rPr>
          <w:rFonts w:cs="Calibri Light"/>
        </w:rPr>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p>
    <w:p w14:paraId="4A7492B4" w14:textId="77777777" w:rsidR="00375BD8" w:rsidRPr="00C6243E" w:rsidRDefault="00375BD8" w:rsidP="00E20381">
      <w:pPr>
        <w:pStyle w:val="Caption"/>
      </w:pPr>
      <w:r w:rsidRPr="00C6243E">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4"/>
        <w:gridCol w:w="1710"/>
        <w:gridCol w:w="5671"/>
      </w:tblGrid>
      <w:tr w:rsidR="00375BD8" w:rsidRPr="00C6243E" w14:paraId="7545601C" w14:textId="77777777" w:rsidTr="00375BD8">
        <w:trPr>
          <w:cantSplit/>
          <w:trHeight w:val="20"/>
        </w:trPr>
        <w:tc>
          <w:tcPr>
            <w:tcW w:w="1093" w:type="pct"/>
            <w:shd w:val="clear" w:color="000000" w:fill="F2F2F2" w:themeFill="background1" w:themeFillShade="F2"/>
            <w:vAlign w:val="bottom"/>
          </w:tcPr>
          <w:p w14:paraId="752CE6F8" w14:textId="77777777" w:rsidR="00375BD8" w:rsidRPr="00C6243E" w:rsidRDefault="00375BD8" w:rsidP="00B13E72">
            <w:pPr>
              <w:spacing w:before="0" w:after="0" w:line="200" w:lineRule="atLeast"/>
              <w:jc w:val="both"/>
              <w:rPr>
                <w:rFonts w:cs="Calibri Light"/>
                <w:b/>
                <w:color w:val="000000"/>
                <w:sz w:val="20"/>
                <w:szCs w:val="20"/>
              </w:rPr>
            </w:pPr>
            <w:r w:rsidRPr="00C6243E">
              <w:rPr>
                <w:rFonts w:cs="Calibri Light"/>
                <w:b/>
                <w:color w:val="000000"/>
                <w:sz w:val="20"/>
                <w:szCs w:val="20"/>
              </w:rPr>
              <w:t>Parameter</w:t>
            </w:r>
          </w:p>
        </w:tc>
        <w:tc>
          <w:tcPr>
            <w:tcW w:w="905" w:type="pct"/>
            <w:shd w:val="clear" w:color="000000" w:fill="F2F2F2" w:themeFill="background1" w:themeFillShade="F2"/>
            <w:vAlign w:val="center"/>
          </w:tcPr>
          <w:p w14:paraId="56A5A14B" w14:textId="5AC45E80" w:rsidR="00375BD8" w:rsidRPr="00C6243E" w:rsidRDefault="00375BD8" w:rsidP="0074021A">
            <w:pPr>
              <w:spacing w:before="0" w:after="0" w:line="200" w:lineRule="atLeast"/>
              <w:jc w:val="center"/>
              <w:rPr>
                <w:rFonts w:cs="Calibri Light"/>
                <w:b/>
                <w:color w:val="000000"/>
                <w:sz w:val="20"/>
                <w:szCs w:val="20"/>
              </w:rPr>
            </w:pPr>
            <w:r w:rsidRPr="00C6243E">
              <w:rPr>
                <w:rFonts w:cs="Calibri Light"/>
                <w:b/>
                <w:sz w:val="20"/>
                <w:szCs w:val="20"/>
              </w:rPr>
              <w:t>GSIA</w:t>
            </w:r>
          </w:p>
        </w:tc>
        <w:tc>
          <w:tcPr>
            <w:tcW w:w="3002" w:type="pct"/>
            <w:shd w:val="clear" w:color="000000" w:fill="F2F2F2" w:themeFill="background1" w:themeFillShade="F2"/>
          </w:tcPr>
          <w:p w14:paraId="2B2994FC" w14:textId="77777777" w:rsidR="00375BD8" w:rsidRPr="00C6243E" w:rsidRDefault="00375BD8" w:rsidP="0074021A">
            <w:pPr>
              <w:spacing w:before="0" w:after="0" w:line="200" w:lineRule="atLeast"/>
              <w:jc w:val="center"/>
              <w:rPr>
                <w:rFonts w:cs="Calibri Light"/>
                <w:b/>
                <w:sz w:val="20"/>
                <w:szCs w:val="20"/>
              </w:rPr>
            </w:pPr>
            <w:r w:rsidRPr="00C6243E">
              <w:rPr>
                <w:rFonts w:cs="Calibri Light"/>
                <w:b/>
                <w:sz w:val="20"/>
                <w:szCs w:val="20"/>
              </w:rPr>
              <w:t>Source</w:t>
            </w:r>
          </w:p>
        </w:tc>
      </w:tr>
      <w:tr w:rsidR="00375BD8" w:rsidRPr="00C6243E" w14:paraId="6B9FCD9A" w14:textId="77777777" w:rsidTr="0074021A">
        <w:trPr>
          <w:cantSplit/>
          <w:trHeight w:val="20"/>
        </w:trPr>
        <w:tc>
          <w:tcPr>
            <w:tcW w:w="1093" w:type="pct"/>
            <w:vAlign w:val="center"/>
          </w:tcPr>
          <w:p w14:paraId="018506D7" w14:textId="3A6A474B" w:rsidR="00375BD8" w:rsidRPr="00C6243E" w:rsidRDefault="00F40E41" w:rsidP="0074021A">
            <w:pPr>
              <w:spacing w:before="0" w:after="0" w:line="200" w:lineRule="atLeast"/>
              <w:rPr>
                <w:rFonts w:cs="Calibri Light"/>
                <w:sz w:val="20"/>
                <w:szCs w:val="20"/>
              </w:rPr>
            </w:pPr>
            <w:r>
              <w:rPr>
                <w:rFonts w:cs="Calibri Light"/>
                <w:sz w:val="20"/>
                <w:szCs w:val="20"/>
              </w:rPr>
              <w:t>Def-</w:t>
            </w:r>
            <w:r w:rsidR="00375BD8" w:rsidRPr="00C6243E">
              <w:rPr>
                <w:rFonts w:cs="Calibri Light"/>
                <w:sz w:val="20"/>
                <w:szCs w:val="20"/>
              </w:rPr>
              <w:t>GSIA</w:t>
            </w:r>
          </w:p>
        </w:tc>
        <w:tc>
          <w:tcPr>
            <w:tcW w:w="905" w:type="pct"/>
            <w:vAlign w:val="center"/>
          </w:tcPr>
          <w:p w14:paraId="67641289" w14:textId="77777777" w:rsidR="00375BD8" w:rsidRPr="00C6243E" w:rsidRDefault="00375BD8" w:rsidP="0074021A">
            <w:pPr>
              <w:spacing w:before="0" w:after="0" w:line="200" w:lineRule="atLeast"/>
              <w:jc w:val="center"/>
              <w:rPr>
                <w:rFonts w:cs="Calibri Light"/>
                <w:sz w:val="20"/>
                <w:szCs w:val="20"/>
              </w:rPr>
            </w:pPr>
            <w:r w:rsidRPr="00C6243E">
              <w:rPr>
                <w:rFonts w:cs="Calibri Light"/>
                <w:sz w:val="20"/>
                <w:szCs w:val="20"/>
              </w:rPr>
              <w:t>1.0</w:t>
            </w:r>
          </w:p>
        </w:tc>
        <w:tc>
          <w:tcPr>
            <w:tcW w:w="3002" w:type="pct"/>
            <w:vAlign w:val="center"/>
          </w:tcPr>
          <w:p w14:paraId="052806F6" w14:textId="77777777" w:rsidR="00375BD8" w:rsidRPr="00C6243E" w:rsidRDefault="00375BD8" w:rsidP="00B13E72">
            <w:pPr>
              <w:spacing w:before="0" w:after="0" w:line="200" w:lineRule="atLeast"/>
              <w:jc w:val="both"/>
              <w:rPr>
                <w:rFonts w:cs="Calibri Light"/>
                <w:sz w:val="20"/>
                <w:szCs w:val="20"/>
              </w:rPr>
            </w:pPr>
            <w:r w:rsidRPr="00C6243E">
              <w:rPr>
                <w:rFonts w:eastAsia="Times New Roman" w:cs="Calibri Light"/>
                <w:sz w:val="18"/>
                <w:szCs w:val="18"/>
              </w:rPr>
              <w:t xml:space="preserve">California Public Utilities Commission (CPUC), Energy Division. 2013. </w:t>
            </w:r>
            <w:r w:rsidRPr="0074021A">
              <w:rPr>
                <w:rFonts w:eastAsia="Times New Roman" w:cs="Calibri Light"/>
                <w:sz w:val="18"/>
                <w:szCs w:val="18"/>
              </w:rPr>
              <w:t>Energy Efficiency Policy Manual Version 5. Page 31.</w:t>
            </w:r>
          </w:p>
        </w:tc>
      </w:tr>
    </w:tbl>
    <w:p w14:paraId="52DA6B3A" w14:textId="77777777" w:rsidR="000A049B" w:rsidRDefault="000A049B" w:rsidP="008828B9">
      <w:pPr>
        <w:pStyle w:val="eTRMHeading3"/>
        <w:jc w:val="both"/>
        <w:rPr>
          <w:rFonts w:cs="Calibri Light"/>
        </w:rPr>
      </w:pPr>
    </w:p>
    <w:p w14:paraId="0D1A17B4" w14:textId="4A7703D2" w:rsidR="00375BD8" w:rsidRPr="008828B9" w:rsidRDefault="00375BD8" w:rsidP="008828B9">
      <w:pPr>
        <w:pStyle w:val="eTRMHeading3"/>
        <w:jc w:val="both"/>
        <w:rPr>
          <w:rFonts w:cs="Calibri Light"/>
        </w:rPr>
      </w:pPr>
      <w:bookmarkStart w:id="71" w:name="_Toc64561075"/>
      <w:r w:rsidRPr="009D256F">
        <w:rPr>
          <w:rFonts w:cs="Calibri Light"/>
        </w:rPr>
        <w:t>DEER Differences Analysis</w:t>
      </w:r>
      <w:bookmarkEnd w:id="71"/>
    </w:p>
    <w:p w14:paraId="5FFF9661" w14:textId="59542B9D" w:rsidR="00375BD8" w:rsidRPr="00C6243E" w:rsidRDefault="00375BD8" w:rsidP="00E20381">
      <w:pPr>
        <w:pStyle w:val="Caption"/>
      </w:pPr>
      <w:r w:rsidRPr="00D50F3D">
        <w:t>DEER Difference Summary</w:t>
      </w:r>
    </w:p>
    <w:tbl>
      <w:tblPr>
        <w:tblW w:w="5291"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659"/>
      </w:tblGrid>
      <w:tr w:rsidR="00375BD8" w:rsidRPr="00C6243E" w14:paraId="47A93BAC" w14:textId="77777777" w:rsidTr="009D256F">
        <w:trPr>
          <w:trHeight w:val="20"/>
        </w:trPr>
        <w:tc>
          <w:tcPr>
            <w:tcW w:w="1635" w:type="pct"/>
            <w:shd w:val="clear" w:color="auto" w:fill="F2F2F2" w:themeFill="background1" w:themeFillShade="F2"/>
          </w:tcPr>
          <w:p w14:paraId="6B38E68B" w14:textId="77777777" w:rsidR="00375BD8" w:rsidRPr="00C6243E" w:rsidRDefault="00375BD8" w:rsidP="00B13E72">
            <w:pPr>
              <w:keepNext/>
              <w:keepLines/>
              <w:tabs>
                <w:tab w:val="right" w:pos="2957"/>
              </w:tabs>
              <w:spacing w:before="20" w:after="20"/>
              <w:jc w:val="both"/>
              <w:rPr>
                <w:rFonts w:cs="Calibri Light"/>
                <w:b/>
                <w:sz w:val="20"/>
                <w:szCs w:val="20"/>
              </w:rPr>
            </w:pPr>
            <w:r w:rsidRPr="00C6243E">
              <w:rPr>
                <w:rFonts w:cs="Calibri Light"/>
                <w:b/>
                <w:sz w:val="20"/>
                <w:szCs w:val="20"/>
              </w:rPr>
              <w:t>DEER Item</w:t>
            </w:r>
          </w:p>
        </w:tc>
        <w:tc>
          <w:tcPr>
            <w:tcW w:w="3365" w:type="pct"/>
            <w:shd w:val="clear" w:color="auto" w:fill="F2F2F2" w:themeFill="background1" w:themeFillShade="F2"/>
          </w:tcPr>
          <w:p w14:paraId="00F16480" w14:textId="77777777" w:rsidR="00375BD8" w:rsidRPr="00C6243E" w:rsidRDefault="00375BD8" w:rsidP="00B13E72">
            <w:pPr>
              <w:keepNext/>
              <w:keepLines/>
              <w:spacing w:before="20" w:after="20"/>
              <w:jc w:val="both"/>
              <w:rPr>
                <w:rFonts w:cs="Calibri Light"/>
                <w:b/>
                <w:sz w:val="20"/>
                <w:szCs w:val="20"/>
              </w:rPr>
            </w:pPr>
            <w:r w:rsidRPr="00C6243E">
              <w:rPr>
                <w:rFonts w:cs="Calibri Light"/>
                <w:b/>
                <w:sz w:val="20"/>
                <w:szCs w:val="20"/>
              </w:rPr>
              <w:t>Comment / Used for Workpaper</w:t>
            </w:r>
          </w:p>
        </w:tc>
      </w:tr>
      <w:tr w:rsidR="00375BD8" w:rsidRPr="00C6243E" w14:paraId="2014351C" w14:textId="77777777" w:rsidTr="009D256F">
        <w:trPr>
          <w:trHeight w:val="20"/>
        </w:trPr>
        <w:tc>
          <w:tcPr>
            <w:tcW w:w="1635" w:type="pct"/>
          </w:tcPr>
          <w:p w14:paraId="4262FFAA"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Modified DEER methodology</w:t>
            </w:r>
          </w:p>
        </w:tc>
        <w:tc>
          <w:tcPr>
            <w:tcW w:w="3365" w:type="pct"/>
          </w:tcPr>
          <w:p w14:paraId="6AF6FB51"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rPr>
              <w:t>No</w:t>
            </w:r>
          </w:p>
        </w:tc>
      </w:tr>
      <w:tr w:rsidR="00375BD8" w:rsidRPr="00C6243E" w14:paraId="58A69ABF" w14:textId="77777777" w:rsidTr="009D256F">
        <w:trPr>
          <w:trHeight w:val="20"/>
        </w:trPr>
        <w:tc>
          <w:tcPr>
            <w:tcW w:w="1635" w:type="pct"/>
          </w:tcPr>
          <w:p w14:paraId="42462F31"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Scaled DEER measure</w:t>
            </w:r>
          </w:p>
        </w:tc>
        <w:tc>
          <w:tcPr>
            <w:tcW w:w="3365" w:type="pct"/>
          </w:tcPr>
          <w:p w14:paraId="198D313C"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rPr>
              <w:t>No</w:t>
            </w:r>
          </w:p>
        </w:tc>
      </w:tr>
      <w:tr w:rsidR="00375BD8" w:rsidRPr="00C6243E" w14:paraId="650D7004" w14:textId="77777777" w:rsidTr="009D256F">
        <w:trPr>
          <w:trHeight w:val="20"/>
        </w:trPr>
        <w:tc>
          <w:tcPr>
            <w:tcW w:w="1635" w:type="pct"/>
          </w:tcPr>
          <w:p w14:paraId="0A8B63F6"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DEER Base Case</w:t>
            </w:r>
          </w:p>
        </w:tc>
        <w:tc>
          <w:tcPr>
            <w:tcW w:w="3365" w:type="pct"/>
          </w:tcPr>
          <w:p w14:paraId="20868E4A"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No</w:t>
            </w:r>
          </w:p>
        </w:tc>
      </w:tr>
      <w:tr w:rsidR="00375BD8" w:rsidRPr="00C6243E" w14:paraId="2FD977C7" w14:textId="77777777" w:rsidTr="009D256F">
        <w:trPr>
          <w:trHeight w:val="20"/>
        </w:trPr>
        <w:tc>
          <w:tcPr>
            <w:tcW w:w="1635" w:type="pct"/>
          </w:tcPr>
          <w:p w14:paraId="4F8F4010"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DEER Measure Case</w:t>
            </w:r>
          </w:p>
        </w:tc>
        <w:tc>
          <w:tcPr>
            <w:tcW w:w="3365" w:type="pct"/>
          </w:tcPr>
          <w:p w14:paraId="45999442"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rPr>
              <w:t>No</w:t>
            </w:r>
          </w:p>
        </w:tc>
      </w:tr>
      <w:tr w:rsidR="00375BD8" w:rsidRPr="00C6243E" w14:paraId="44291183" w14:textId="77777777" w:rsidTr="009D256F">
        <w:trPr>
          <w:trHeight w:val="20"/>
        </w:trPr>
        <w:tc>
          <w:tcPr>
            <w:tcW w:w="1635" w:type="pct"/>
          </w:tcPr>
          <w:p w14:paraId="44D4D1ED"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DEER Building Types</w:t>
            </w:r>
          </w:p>
        </w:tc>
        <w:tc>
          <w:tcPr>
            <w:tcW w:w="3365" w:type="pct"/>
          </w:tcPr>
          <w:p w14:paraId="338659A0"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Yes</w:t>
            </w:r>
          </w:p>
        </w:tc>
      </w:tr>
      <w:tr w:rsidR="00375BD8" w:rsidRPr="00C6243E" w14:paraId="2242F0F6" w14:textId="77777777" w:rsidTr="009D256F">
        <w:trPr>
          <w:trHeight w:val="20"/>
        </w:trPr>
        <w:tc>
          <w:tcPr>
            <w:tcW w:w="1635" w:type="pct"/>
          </w:tcPr>
          <w:p w14:paraId="7691A5E1" w14:textId="7CC34DE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DEER Operat</w:t>
            </w:r>
            <w:r w:rsidR="007C65A9">
              <w:rPr>
                <w:rFonts w:cs="Calibri Light"/>
                <w:sz w:val="20"/>
                <w:szCs w:val="20"/>
              </w:rPr>
              <w:t>/</w:t>
            </w:r>
            <w:r w:rsidRPr="00C6243E">
              <w:rPr>
                <w:rFonts w:cs="Calibri Light"/>
                <w:sz w:val="20"/>
                <w:szCs w:val="20"/>
              </w:rPr>
              <w:t>ing Hours</w:t>
            </w:r>
          </w:p>
        </w:tc>
        <w:tc>
          <w:tcPr>
            <w:tcW w:w="3365" w:type="pct"/>
          </w:tcPr>
          <w:p w14:paraId="4C959A08" w14:textId="0FAC2FD1" w:rsidR="00375BD8" w:rsidRPr="00C6243E" w:rsidRDefault="00F922D7" w:rsidP="00B13E72">
            <w:pPr>
              <w:keepNext/>
              <w:keepLines/>
              <w:spacing w:before="20" w:after="20"/>
              <w:jc w:val="both"/>
              <w:rPr>
                <w:rFonts w:cs="Calibri Light"/>
                <w:sz w:val="20"/>
                <w:szCs w:val="20"/>
              </w:rPr>
            </w:pPr>
            <w:r>
              <w:rPr>
                <w:rFonts w:cs="Calibri Light"/>
                <w:sz w:val="20"/>
              </w:rPr>
              <w:t>Yes</w:t>
            </w:r>
          </w:p>
        </w:tc>
      </w:tr>
      <w:tr w:rsidR="00375BD8" w:rsidRPr="00C6243E" w14:paraId="6514C818" w14:textId="77777777" w:rsidTr="009D256F">
        <w:trPr>
          <w:trHeight w:val="20"/>
        </w:trPr>
        <w:tc>
          <w:tcPr>
            <w:tcW w:w="1635" w:type="pct"/>
          </w:tcPr>
          <w:p w14:paraId="7D22CEDA"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DEER eQUEST Prototypes</w:t>
            </w:r>
          </w:p>
        </w:tc>
        <w:tc>
          <w:tcPr>
            <w:tcW w:w="3365" w:type="pct"/>
          </w:tcPr>
          <w:p w14:paraId="3B6677F5" w14:textId="19D3A9B9" w:rsidR="00375BD8" w:rsidRPr="00C6243E" w:rsidDel="00505CEC" w:rsidRDefault="00F922D7" w:rsidP="00B13E72">
            <w:pPr>
              <w:keepNext/>
              <w:keepLines/>
              <w:spacing w:before="20" w:after="20"/>
              <w:jc w:val="both"/>
              <w:rPr>
                <w:rFonts w:cs="Calibri Light"/>
                <w:sz w:val="20"/>
                <w:szCs w:val="20"/>
              </w:rPr>
            </w:pPr>
            <w:r>
              <w:rPr>
                <w:rFonts w:cs="Calibri Light"/>
                <w:sz w:val="20"/>
                <w:szCs w:val="20"/>
              </w:rPr>
              <w:t xml:space="preserve">Yes (MASControl version 3 for </w:t>
            </w:r>
            <w:r w:rsidR="00E20381">
              <w:rPr>
                <w:rFonts w:cs="Calibri Light"/>
                <w:sz w:val="20"/>
                <w:szCs w:val="20"/>
              </w:rPr>
              <w:t xml:space="preserve">residential buildings, </w:t>
            </w:r>
            <w:r>
              <w:rPr>
                <w:rFonts w:cs="Calibri Light"/>
                <w:sz w:val="20"/>
                <w:szCs w:val="20"/>
              </w:rPr>
              <w:t>existing vintage)</w:t>
            </w:r>
          </w:p>
        </w:tc>
      </w:tr>
      <w:tr w:rsidR="00375BD8" w:rsidRPr="00C6243E" w14:paraId="0CF64CAF" w14:textId="77777777" w:rsidTr="009D256F">
        <w:trPr>
          <w:trHeight w:val="180"/>
        </w:trPr>
        <w:tc>
          <w:tcPr>
            <w:tcW w:w="1635" w:type="pct"/>
          </w:tcPr>
          <w:p w14:paraId="694D359B"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DEER Version</w:t>
            </w:r>
          </w:p>
        </w:tc>
        <w:tc>
          <w:tcPr>
            <w:tcW w:w="3365" w:type="pct"/>
          </w:tcPr>
          <w:p w14:paraId="520E62EF" w14:textId="72C45EC0" w:rsidR="002440CE" w:rsidRPr="00C6243E" w:rsidRDefault="002440CE" w:rsidP="00B13E72">
            <w:pPr>
              <w:keepNext/>
              <w:keepLines/>
              <w:spacing w:before="20" w:after="20"/>
              <w:jc w:val="both"/>
              <w:rPr>
                <w:rFonts w:cs="Calibri Light"/>
                <w:sz w:val="20"/>
                <w:szCs w:val="20"/>
              </w:rPr>
            </w:pPr>
            <w:r>
              <w:rPr>
                <w:rFonts w:cs="Calibri Light"/>
                <w:sz w:val="20"/>
                <w:szCs w:val="20"/>
              </w:rPr>
              <w:t>N/A</w:t>
            </w:r>
          </w:p>
        </w:tc>
      </w:tr>
      <w:tr w:rsidR="00375BD8" w:rsidRPr="00C6243E" w14:paraId="6DA4E89D" w14:textId="77777777" w:rsidTr="009D256F">
        <w:trPr>
          <w:trHeight w:val="20"/>
        </w:trPr>
        <w:tc>
          <w:tcPr>
            <w:tcW w:w="1635" w:type="pct"/>
          </w:tcPr>
          <w:p w14:paraId="5FE89197"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Reason for Deviation from DEER</w:t>
            </w:r>
          </w:p>
        </w:tc>
        <w:tc>
          <w:tcPr>
            <w:tcW w:w="3365" w:type="pct"/>
          </w:tcPr>
          <w:p w14:paraId="78263AA6" w14:textId="07BCDC85" w:rsidR="00375BD8" w:rsidRPr="00C6243E" w:rsidRDefault="001E2B27" w:rsidP="00B13E72">
            <w:pPr>
              <w:keepNext/>
              <w:keepLines/>
              <w:spacing w:before="20" w:after="20"/>
              <w:jc w:val="both"/>
              <w:rPr>
                <w:rFonts w:cs="Calibri Light"/>
                <w:sz w:val="20"/>
                <w:szCs w:val="20"/>
              </w:rPr>
            </w:pPr>
            <w:r>
              <w:rPr>
                <w:rFonts w:cs="Calibri Light"/>
                <w:sz w:val="20"/>
              </w:rPr>
              <w:t>N/A</w:t>
            </w:r>
          </w:p>
        </w:tc>
      </w:tr>
      <w:tr w:rsidR="00375BD8" w:rsidRPr="00C6243E" w14:paraId="0BF17724" w14:textId="77777777" w:rsidTr="009D256F">
        <w:trPr>
          <w:trHeight w:val="20"/>
        </w:trPr>
        <w:tc>
          <w:tcPr>
            <w:tcW w:w="1635" w:type="pct"/>
          </w:tcPr>
          <w:p w14:paraId="6A7CC80B"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DEER Measure IDs Used</w:t>
            </w:r>
          </w:p>
        </w:tc>
        <w:tc>
          <w:tcPr>
            <w:tcW w:w="3365" w:type="pct"/>
          </w:tcPr>
          <w:p w14:paraId="50133552" w14:textId="77777777" w:rsidR="00375BD8" w:rsidRPr="00C6243E" w:rsidRDefault="00375BD8" w:rsidP="00B13E72">
            <w:pPr>
              <w:keepNext/>
              <w:keepLines/>
              <w:spacing w:before="20" w:after="20"/>
              <w:jc w:val="both"/>
              <w:rPr>
                <w:rFonts w:cs="Calibri Light"/>
                <w:sz w:val="20"/>
                <w:szCs w:val="20"/>
              </w:rPr>
            </w:pPr>
            <w:r>
              <w:rPr>
                <w:rFonts w:cs="Calibri Light"/>
                <w:sz w:val="20"/>
                <w:szCs w:val="20"/>
              </w:rPr>
              <w:t>N/A</w:t>
            </w:r>
          </w:p>
        </w:tc>
      </w:tr>
      <w:tr w:rsidR="00375BD8" w:rsidRPr="00C6243E" w14:paraId="53D65CD4" w14:textId="77777777" w:rsidTr="009D256F">
        <w:trPr>
          <w:trHeight w:val="20"/>
        </w:trPr>
        <w:tc>
          <w:tcPr>
            <w:tcW w:w="1635" w:type="pct"/>
          </w:tcPr>
          <w:p w14:paraId="49744637"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NTG</w:t>
            </w:r>
          </w:p>
        </w:tc>
        <w:tc>
          <w:tcPr>
            <w:tcW w:w="3365" w:type="pct"/>
          </w:tcPr>
          <w:p w14:paraId="0CB69748" w14:textId="1B904B83" w:rsidR="00375BD8" w:rsidRPr="00C6243E" w:rsidRDefault="00F922D7" w:rsidP="00B13E72">
            <w:pPr>
              <w:keepNext/>
              <w:keepLines/>
              <w:spacing w:before="20" w:after="20"/>
              <w:jc w:val="both"/>
              <w:rPr>
                <w:rFonts w:cs="Calibri Light"/>
                <w:i/>
                <w:sz w:val="20"/>
                <w:szCs w:val="20"/>
              </w:rPr>
            </w:pPr>
            <w:r w:rsidRPr="00F922D7">
              <w:rPr>
                <w:rFonts w:cs="Calibri Light"/>
                <w:sz w:val="20"/>
                <w:szCs w:val="20"/>
              </w:rPr>
              <w:t>Source: DEER. The NTG of 1.0 is associated with NTG ID:  FuelSubst-Defaul</w:t>
            </w:r>
            <w:r w:rsidR="00983CC5">
              <w:rPr>
                <w:rFonts w:cs="Calibri Light"/>
                <w:sz w:val="20"/>
                <w:szCs w:val="20"/>
              </w:rPr>
              <w:t>t</w:t>
            </w:r>
          </w:p>
        </w:tc>
      </w:tr>
      <w:tr w:rsidR="00375BD8" w:rsidRPr="00C6243E" w14:paraId="4CD3121E" w14:textId="77777777" w:rsidTr="009D256F">
        <w:trPr>
          <w:trHeight w:val="20"/>
        </w:trPr>
        <w:tc>
          <w:tcPr>
            <w:tcW w:w="1635" w:type="pct"/>
          </w:tcPr>
          <w:p w14:paraId="61B40948"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GSIA</w:t>
            </w:r>
          </w:p>
        </w:tc>
        <w:tc>
          <w:tcPr>
            <w:tcW w:w="3365" w:type="pct"/>
          </w:tcPr>
          <w:p w14:paraId="52D4E7F2"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 xml:space="preserve">Source: DEER. The GSIA of 1.0 is associated with GSIA ID: </w:t>
            </w:r>
            <w:r w:rsidRPr="00C6243E">
              <w:rPr>
                <w:rFonts w:cs="Calibri Light"/>
                <w:i/>
                <w:sz w:val="20"/>
                <w:szCs w:val="20"/>
              </w:rPr>
              <w:t>Def-GSIA</w:t>
            </w:r>
          </w:p>
        </w:tc>
      </w:tr>
      <w:tr w:rsidR="00375BD8" w:rsidRPr="00C6243E" w14:paraId="147958B8" w14:textId="77777777" w:rsidTr="00983CC5">
        <w:trPr>
          <w:trHeight w:val="323"/>
        </w:trPr>
        <w:tc>
          <w:tcPr>
            <w:tcW w:w="1635" w:type="pct"/>
          </w:tcPr>
          <w:p w14:paraId="586AF59E" w14:textId="77777777" w:rsidR="00375BD8" w:rsidRPr="00C6243E" w:rsidRDefault="00375BD8" w:rsidP="00B13E72">
            <w:pPr>
              <w:keepNext/>
              <w:keepLines/>
              <w:spacing w:before="20" w:after="20"/>
              <w:jc w:val="both"/>
              <w:rPr>
                <w:rFonts w:cs="Calibri Light"/>
                <w:sz w:val="20"/>
                <w:szCs w:val="20"/>
              </w:rPr>
            </w:pPr>
            <w:r w:rsidRPr="00C6243E">
              <w:rPr>
                <w:rFonts w:cs="Calibri Light"/>
                <w:sz w:val="20"/>
                <w:szCs w:val="20"/>
              </w:rPr>
              <w:t>EUL/RUL</w:t>
            </w:r>
          </w:p>
        </w:tc>
        <w:tc>
          <w:tcPr>
            <w:tcW w:w="3365" w:type="pct"/>
          </w:tcPr>
          <w:p w14:paraId="1A5D9DBF" w14:textId="35792411" w:rsidR="00375BD8" w:rsidRPr="00983CC5" w:rsidRDefault="00375BD8" w:rsidP="00983CC5">
            <w:pPr>
              <w:keepNext/>
              <w:keepLines/>
              <w:spacing w:before="20" w:after="20"/>
              <w:jc w:val="both"/>
              <w:rPr>
                <w:sz w:val="20"/>
                <w:szCs w:val="20"/>
              </w:rPr>
            </w:pPr>
            <w:r w:rsidRPr="00983CC5">
              <w:rPr>
                <w:sz w:val="20"/>
                <w:szCs w:val="20"/>
              </w:rPr>
              <w:t xml:space="preserve">Source: DEER. </w:t>
            </w:r>
            <w:r w:rsidR="00D50F3D" w:rsidRPr="00983CC5">
              <w:rPr>
                <w:sz w:val="20"/>
                <w:szCs w:val="20"/>
              </w:rPr>
              <w:t>EUL of 1</w:t>
            </w:r>
            <w:r w:rsidR="00983CC5" w:rsidRPr="00983CC5">
              <w:rPr>
                <w:sz w:val="20"/>
                <w:szCs w:val="20"/>
              </w:rPr>
              <w:t xml:space="preserve">5 years with </w:t>
            </w:r>
            <w:r w:rsidR="00983CC5" w:rsidRPr="00983CC5">
              <w:rPr>
                <w:rFonts w:cs="Calibri Light"/>
                <w:sz w:val="20"/>
                <w:szCs w:val="20"/>
              </w:rPr>
              <w:t>EUL</w:t>
            </w:r>
            <w:r w:rsidR="00983CC5" w:rsidRPr="00983CC5">
              <w:rPr>
                <w:sz w:val="20"/>
                <w:szCs w:val="20"/>
              </w:rPr>
              <w:t xml:space="preserve"> ID: HVAC-airHP</w:t>
            </w:r>
          </w:p>
        </w:tc>
      </w:tr>
    </w:tbl>
    <w:p w14:paraId="0E4D4464" w14:textId="77777777" w:rsidR="00375BD8" w:rsidRDefault="00375BD8" w:rsidP="00E20381">
      <w:pPr>
        <w:pStyle w:val="Caption"/>
      </w:pPr>
      <w:bookmarkStart w:id="72" w:name="_Toc486490866"/>
      <w:bookmarkStart w:id="73" w:name="_Toc486580937"/>
      <w:bookmarkStart w:id="74" w:name="_Hlk516051142"/>
      <w:bookmarkStart w:id="75" w:name="_Hlk516047558"/>
    </w:p>
    <w:p w14:paraId="454576FC" w14:textId="77777777" w:rsidR="00375BD8" w:rsidRPr="00C6243E" w:rsidRDefault="00375BD8" w:rsidP="00B13E72">
      <w:pPr>
        <w:pStyle w:val="eTRMHeading3"/>
        <w:jc w:val="both"/>
        <w:rPr>
          <w:rFonts w:cs="Calibri Light"/>
        </w:rPr>
      </w:pPr>
      <w:bookmarkStart w:id="76" w:name="_Toc64561076"/>
      <w:r w:rsidRPr="00C6243E">
        <w:rPr>
          <w:rFonts w:cs="Calibri Light"/>
        </w:rPr>
        <w:t>Revision History</w:t>
      </w:r>
      <w:bookmarkEnd w:id="72"/>
      <w:bookmarkEnd w:id="73"/>
      <w:bookmarkEnd w:id="76"/>
    </w:p>
    <w:p w14:paraId="14F28667" w14:textId="77777777" w:rsidR="00375BD8" w:rsidRPr="00EF7BAC" w:rsidRDefault="00375BD8" w:rsidP="00E20381">
      <w:pPr>
        <w:pStyle w:val="Caption"/>
      </w:pPr>
      <w:bookmarkStart w:id="77" w:name="_Hlk515959178"/>
      <w:r w:rsidRPr="00EF7BAC">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350"/>
        <w:gridCol w:w="2113"/>
        <w:gridCol w:w="4946"/>
      </w:tblGrid>
      <w:tr w:rsidR="00375BD8" w:rsidRPr="00C6243E" w14:paraId="671ADBB1" w14:textId="77777777" w:rsidTr="00375BD8">
        <w:trPr>
          <w:trHeight w:val="20"/>
        </w:trPr>
        <w:tc>
          <w:tcPr>
            <w:tcW w:w="503" w:type="pct"/>
            <w:shd w:val="clear" w:color="auto" w:fill="F2F2F2" w:themeFill="background1" w:themeFillShade="F2"/>
            <w:vAlign w:val="bottom"/>
          </w:tcPr>
          <w:p w14:paraId="371AE3A0" w14:textId="77777777" w:rsidR="00375BD8" w:rsidRPr="00C6243E" w:rsidRDefault="00375BD8" w:rsidP="00B13E72">
            <w:pPr>
              <w:keepNext/>
              <w:keepLines/>
              <w:tabs>
                <w:tab w:val="right" w:pos="2957"/>
              </w:tabs>
              <w:spacing w:before="20" w:after="20"/>
              <w:jc w:val="both"/>
              <w:rPr>
                <w:rFonts w:cs="Calibri Light"/>
                <w:b/>
                <w:sz w:val="20"/>
                <w:szCs w:val="20"/>
              </w:rPr>
            </w:pPr>
            <w:r w:rsidRPr="00C6243E">
              <w:rPr>
                <w:rFonts w:cs="Calibri Light"/>
                <w:b/>
                <w:sz w:val="20"/>
                <w:szCs w:val="20"/>
              </w:rPr>
              <w:t>Revision Number</w:t>
            </w:r>
          </w:p>
        </w:tc>
        <w:tc>
          <w:tcPr>
            <w:tcW w:w="722" w:type="pct"/>
            <w:shd w:val="clear" w:color="auto" w:fill="F2F2F2" w:themeFill="background1" w:themeFillShade="F2"/>
            <w:vAlign w:val="bottom"/>
          </w:tcPr>
          <w:p w14:paraId="1D9B5289" w14:textId="77777777" w:rsidR="00375BD8" w:rsidRPr="00C6243E" w:rsidRDefault="00375BD8" w:rsidP="00B13E72">
            <w:pPr>
              <w:keepNext/>
              <w:keepLines/>
              <w:spacing w:before="20" w:after="20"/>
              <w:jc w:val="both"/>
              <w:rPr>
                <w:rFonts w:cs="Calibri Light"/>
                <w:b/>
                <w:sz w:val="20"/>
                <w:szCs w:val="20"/>
              </w:rPr>
            </w:pPr>
            <w:r w:rsidRPr="00C6243E">
              <w:rPr>
                <w:rFonts w:cs="Calibri Light"/>
                <w:b/>
                <w:sz w:val="20"/>
                <w:szCs w:val="20"/>
              </w:rPr>
              <w:t>Date</w:t>
            </w:r>
          </w:p>
        </w:tc>
        <w:tc>
          <w:tcPr>
            <w:tcW w:w="1130" w:type="pct"/>
            <w:shd w:val="clear" w:color="auto" w:fill="F2F2F2" w:themeFill="background1" w:themeFillShade="F2"/>
            <w:vAlign w:val="bottom"/>
          </w:tcPr>
          <w:p w14:paraId="6ABA0A57" w14:textId="77777777" w:rsidR="00375BD8" w:rsidRPr="00C6243E" w:rsidRDefault="00375BD8" w:rsidP="00B13E72">
            <w:pPr>
              <w:keepNext/>
              <w:keepLines/>
              <w:spacing w:before="20" w:after="20"/>
              <w:jc w:val="both"/>
              <w:rPr>
                <w:rFonts w:cs="Calibri Light"/>
                <w:b/>
                <w:sz w:val="20"/>
                <w:szCs w:val="20"/>
              </w:rPr>
            </w:pPr>
            <w:r w:rsidRPr="00C6243E">
              <w:rPr>
                <w:rFonts w:cs="Calibri Light"/>
                <w:b/>
                <w:sz w:val="20"/>
                <w:szCs w:val="20"/>
              </w:rPr>
              <w:t>Primary Author, Title, Organization</w:t>
            </w:r>
          </w:p>
        </w:tc>
        <w:tc>
          <w:tcPr>
            <w:tcW w:w="2645" w:type="pct"/>
            <w:shd w:val="clear" w:color="auto" w:fill="F2F2F2" w:themeFill="background1" w:themeFillShade="F2"/>
            <w:vAlign w:val="bottom"/>
          </w:tcPr>
          <w:p w14:paraId="7E2B8AC3" w14:textId="77777777" w:rsidR="00375BD8" w:rsidRPr="00C6243E" w:rsidRDefault="00375BD8" w:rsidP="00B13E72">
            <w:pPr>
              <w:keepNext/>
              <w:keepLines/>
              <w:spacing w:before="20" w:after="20"/>
              <w:jc w:val="both"/>
              <w:rPr>
                <w:rFonts w:cs="Calibri Light"/>
                <w:b/>
                <w:sz w:val="20"/>
                <w:szCs w:val="20"/>
              </w:rPr>
            </w:pPr>
            <w:r w:rsidRPr="00C6243E">
              <w:rPr>
                <w:rFonts w:cs="Calibri Light"/>
                <w:b/>
                <w:sz w:val="20"/>
                <w:szCs w:val="20"/>
              </w:rPr>
              <w:t>Revision Summary and Rationale for Revision</w:t>
            </w:r>
          </w:p>
          <w:p w14:paraId="67774EE7" w14:textId="77777777" w:rsidR="00375BD8" w:rsidRPr="00C6243E" w:rsidRDefault="00375BD8" w:rsidP="00B13E72">
            <w:pPr>
              <w:keepNext/>
              <w:keepLines/>
              <w:spacing w:before="20" w:after="20"/>
              <w:jc w:val="both"/>
              <w:rPr>
                <w:rFonts w:cs="Calibri Light"/>
                <w:b/>
                <w:sz w:val="20"/>
                <w:szCs w:val="20"/>
              </w:rPr>
            </w:pPr>
            <w:r w:rsidRPr="00C6243E">
              <w:rPr>
                <w:rFonts w:cs="Calibri Light"/>
                <w:b/>
                <w:sz w:val="20"/>
                <w:szCs w:val="20"/>
              </w:rPr>
              <w:t>Effective Date and Approved By</w:t>
            </w:r>
          </w:p>
        </w:tc>
      </w:tr>
      <w:tr w:rsidR="00375BD8" w:rsidRPr="00C6243E" w14:paraId="366F91AB" w14:textId="77777777" w:rsidTr="00375BD8">
        <w:trPr>
          <w:trHeight w:val="20"/>
        </w:trPr>
        <w:tc>
          <w:tcPr>
            <w:tcW w:w="503" w:type="pct"/>
          </w:tcPr>
          <w:p w14:paraId="0C6B0519" w14:textId="0708A06C" w:rsidR="00375BD8" w:rsidRPr="00C6243E" w:rsidRDefault="00222485" w:rsidP="00B13E72">
            <w:pPr>
              <w:keepNext/>
              <w:keepLines/>
              <w:spacing w:before="20" w:after="20"/>
              <w:jc w:val="both"/>
              <w:rPr>
                <w:rFonts w:cs="Calibri Light"/>
                <w:sz w:val="20"/>
                <w:szCs w:val="20"/>
              </w:rPr>
            </w:pPr>
            <w:r>
              <w:rPr>
                <w:rFonts w:cs="Calibri Light"/>
                <w:sz w:val="20"/>
                <w:szCs w:val="20"/>
              </w:rPr>
              <w:t>01</w:t>
            </w:r>
          </w:p>
        </w:tc>
        <w:tc>
          <w:tcPr>
            <w:tcW w:w="722" w:type="pct"/>
          </w:tcPr>
          <w:p w14:paraId="00AF43DD" w14:textId="239C12EE" w:rsidR="00375BD8" w:rsidRPr="00C6243E" w:rsidRDefault="00D5351D" w:rsidP="00B13E72">
            <w:pPr>
              <w:keepNext/>
              <w:keepLines/>
              <w:spacing w:before="20" w:after="20"/>
              <w:jc w:val="both"/>
              <w:rPr>
                <w:rFonts w:cs="Calibri Light"/>
                <w:sz w:val="20"/>
                <w:szCs w:val="20"/>
              </w:rPr>
            </w:pPr>
            <w:r>
              <w:rPr>
                <w:rFonts w:cs="Calibri Light"/>
                <w:sz w:val="20"/>
                <w:szCs w:val="20"/>
              </w:rPr>
              <w:t>12/02</w:t>
            </w:r>
            <w:r w:rsidR="00222485">
              <w:rPr>
                <w:rFonts w:cs="Calibri Light"/>
                <w:sz w:val="20"/>
                <w:szCs w:val="20"/>
              </w:rPr>
              <w:t>/2019</w:t>
            </w:r>
          </w:p>
        </w:tc>
        <w:tc>
          <w:tcPr>
            <w:tcW w:w="1130" w:type="pct"/>
          </w:tcPr>
          <w:p w14:paraId="07F7A7EB" w14:textId="77777777" w:rsidR="00375BD8" w:rsidRDefault="00E20381" w:rsidP="00B13E72">
            <w:pPr>
              <w:keepNext/>
              <w:keepLines/>
              <w:spacing w:before="20" w:after="20"/>
              <w:jc w:val="both"/>
              <w:rPr>
                <w:rFonts w:cs="Calibri Light"/>
                <w:sz w:val="20"/>
                <w:szCs w:val="20"/>
              </w:rPr>
            </w:pPr>
            <w:r>
              <w:rPr>
                <w:rFonts w:cs="Calibri Light"/>
                <w:sz w:val="20"/>
                <w:szCs w:val="20"/>
              </w:rPr>
              <w:t>Annie Hur, TRC</w:t>
            </w:r>
          </w:p>
          <w:p w14:paraId="5ECB161A" w14:textId="6857754A" w:rsidR="00E20381" w:rsidRPr="00C6243E" w:rsidRDefault="00E20381" w:rsidP="00B13E72">
            <w:pPr>
              <w:keepNext/>
              <w:keepLines/>
              <w:spacing w:before="20" w:after="20"/>
              <w:jc w:val="both"/>
              <w:rPr>
                <w:rFonts w:cs="Calibri Light"/>
                <w:sz w:val="20"/>
                <w:szCs w:val="20"/>
              </w:rPr>
            </w:pPr>
            <w:r>
              <w:rPr>
                <w:rFonts w:cs="Calibri Light"/>
                <w:sz w:val="20"/>
                <w:szCs w:val="20"/>
              </w:rPr>
              <w:t>Lake Casco, PE, TRC</w:t>
            </w:r>
          </w:p>
        </w:tc>
        <w:tc>
          <w:tcPr>
            <w:tcW w:w="2645" w:type="pct"/>
          </w:tcPr>
          <w:p w14:paraId="301BD2B7" w14:textId="77777777" w:rsidR="00375BD8" w:rsidRPr="00C6243E" w:rsidRDefault="00375BD8" w:rsidP="00B13E72">
            <w:pPr>
              <w:keepNext/>
              <w:keepLines/>
              <w:spacing w:before="20" w:after="20"/>
              <w:jc w:val="both"/>
              <w:rPr>
                <w:rFonts w:cs="Calibri Light"/>
                <w:sz w:val="20"/>
                <w:szCs w:val="20"/>
              </w:rPr>
            </w:pPr>
            <w:r>
              <w:rPr>
                <w:rFonts w:cs="Calibri Light"/>
                <w:sz w:val="20"/>
                <w:szCs w:val="20"/>
              </w:rPr>
              <w:t>First draft of workpaper.</w:t>
            </w:r>
          </w:p>
        </w:tc>
      </w:tr>
      <w:tr w:rsidR="007C65A9" w:rsidRPr="00C6243E" w14:paraId="0AE0FC2E" w14:textId="77777777" w:rsidTr="00375BD8">
        <w:trPr>
          <w:trHeight w:val="20"/>
        </w:trPr>
        <w:tc>
          <w:tcPr>
            <w:tcW w:w="503" w:type="pct"/>
            <w:vMerge w:val="restart"/>
          </w:tcPr>
          <w:p w14:paraId="312AAFA1" w14:textId="02C4937E" w:rsidR="007C65A9" w:rsidRDefault="007C65A9" w:rsidP="00B13E72">
            <w:pPr>
              <w:keepNext/>
              <w:keepLines/>
              <w:spacing w:before="20" w:after="20"/>
              <w:jc w:val="both"/>
              <w:rPr>
                <w:rFonts w:cs="Calibri Light"/>
                <w:sz w:val="20"/>
                <w:szCs w:val="20"/>
              </w:rPr>
            </w:pPr>
            <w:r>
              <w:rPr>
                <w:rFonts w:cs="Calibri Light"/>
                <w:sz w:val="20"/>
                <w:szCs w:val="20"/>
              </w:rPr>
              <w:t>02</w:t>
            </w:r>
          </w:p>
        </w:tc>
        <w:tc>
          <w:tcPr>
            <w:tcW w:w="722" w:type="pct"/>
          </w:tcPr>
          <w:p w14:paraId="4DA080BD" w14:textId="3DCEC75F" w:rsidR="007C65A9" w:rsidRDefault="007C65A9" w:rsidP="00B13E72">
            <w:pPr>
              <w:keepNext/>
              <w:keepLines/>
              <w:spacing w:before="20" w:after="20"/>
              <w:jc w:val="both"/>
              <w:rPr>
                <w:rFonts w:cs="Calibri Light"/>
                <w:sz w:val="20"/>
                <w:szCs w:val="20"/>
              </w:rPr>
            </w:pPr>
            <w:r>
              <w:rPr>
                <w:rFonts w:cs="Calibri Light"/>
                <w:sz w:val="20"/>
                <w:szCs w:val="20"/>
              </w:rPr>
              <w:t>3/1/2021</w:t>
            </w:r>
          </w:p>
        </w:tc>
        <w:tc>
          <w:tcPr>
            <w:tcW w:w="1130" w:type="pct"/>
          </w:tcPr>
          <w:p w14:paraId="27F8E190" w14:textId="06B7DA2E" w:rsidR="007C65A9" w:rsidRDefault="007C65A9" w:rsidP="00B13E72">
            <w:pPr>
              <w:keepNext/>
              <w:keepLines/>
              <w:spacing w:before="20" w:after="20"/>
              <w:jc w:val="both"/>
              <w:rPr>
                <w:rFonts w:cs="Calibri Light"/>
                <w:sz w:val="20"/>
                <w:szCs w:val="20"/>
              </w:rPr>
            </w:pPr>
            <w:r>
              <w:rPr>
                <w:rFonts w:cs="Calibri Light"/>
                <w:sz w:val="20"/>
                <w:szCs w:val="20"/>
              </w:rPr>
              <w:t>Lacey Tan, Frontier Energy</w:t>
            </w:r>
          </w:p>
          <w:p w14:paraId="5639DA4C" w14:textId="0478694F" w:rsidR="007C65A9" w:rsidRDefault="007C65A9" w:rsidP="00B13E72">
            <w:pPr>
              <w:keepNext/>
              <w:keepLines/>
              <w:spacing w:before="20" w:after="20"/>
              <w:jc w:val="both"/>
              <w:rPr>
                <w:rFonts w:cs="Calibri Light"/>
                <w:sz w:val="20"/>
                <w:szCs w:val="20"/>
              </w:rPr>
            </w:pPr>
          </w:p>
          <w:p w14:paraId="1A6CAB0E" w14:textId="55EB0A22" w:rsidR="007C65A9" w:rsidRDefault="007C65A9" w:rsidP="00B13E72">
            <w:pPr>
              <w:keepNext/>
              <w:keepLines/>
              <w:spacing w:before="20" w:after="20"/>
              <w:jc w:val="both"/>
              <w:rPr>
                <w:rFonts w:cs="Calibri Light"/>
                <w:sz w:val="20"/>
                <w:szCs w:val="20"/>
              </w:rPr>
            </w:pPr>
          </w:p>
          <w:p w14:paraId="34F09038" w14:textId="0BD99455" w:rsidR="007C65A9" w:rsidRDefault="007C65A9" w:rsidP="00B13E72">
            <w:pPr>
              <w:keepNext/>
              <w:keepLines/>
              <w:spacing w:before="20" w:after="20"/>
              <w:jc w:val="both"/>
              <w:rPr>
                <w:rFonts w:cs="Calibri Light"/>
                <w:sz w:val="20"/>
                <w:szCs w:val="20"/>
              </w:rPr>
            </w:pPr>
          </w:p>
          <w:p w14:paraId="1190AC47" w14:textId="77777777" w:rsidR="007C65A9" w:rsidRDefault="007C65A9" w:rsidP="00B13E72">
            <w:pPr>
              <w:keepNext/>
              <w:keepLines/>
              <w:spacing w:before="20" w:after="20"/>
              <w:jc w:val="both"/>
              <w:rPr>
                <w:rFonts w:cs="Calibri Light"/>
                <w:sz w:val="20"/>
                <w:szCs w:val="20"/>
              </w:rPr>
            </w:pPr>
          </w:p>
          <w:p w14:paraId="26AEB788" w14:textId="77777777" w:rsidR="007C65A9" w:rsidRDefault="007C65A9" w:rsidP="00B13E72">
            <w:pPr>
              <w:keepNext/>
              <w:keepLines/>
              <w:spacing w:before="20" w:after="20"/>
              <w:jc w:val="both"/>
              <w:rPr>
                <w:rFonts w:cs="Calibri Light"/>
                <w:sz w:val="20"/>
                <w:szCs w:val="20"/>
              </w:rPr>
            </w:pPr>
            <w:r>
              <w:rPr>
                <w:rFonts w:cs="Calibri Light"/>
                <w:sz w:val="20"/>
                <w:szCs w:val="20"/>
              </w:rPr>
              <w:t>Lake Casco, PE, TRC</w:t>
            </w:r>
          </w:p>
          <w:p w14:paraId="2177B6EB" w14:textId="22E2DD5E" w:rsidR="007C65A9" w:rsidRDefault="007C65A9" w:rsidP="00B13E72">
            <w:pPr>
              <w:keepNext/>
              <w:keepLines/>
              <w:spacing w:before="20" w:after="20"/>
              <w:jc w:val="both"/>
              <w:rPr>
                <w:rFonts w:cs="Calibri Light"/>
                <w:sz w:val="20"/>
                <w:szCs w:val="20"/>
              </w:rPr>
            </w:pPr>
            <w:r>
              <w:rPr>
                <w:rFonts w:cs="Calibri Light"/>
                <w:sz w:val="20"/>
                <w:szCs w:val="20"/>
              </w:rPr>
              <w:t>Sergio Corona, PE, TRC</w:t>
            </w:r>
          </w:p>
        </w:tc>
        <w:tc>
          <w:tcPr>
            <w:tcW w:w="2645" w:type="pct"/>
          </w:tcPr>
          <w:p w14:paraId="4D3A8A9C" w14:textId="77777777" w:rsidR="007C65A9" w:rsidRDefault="007C65A9" w:rsidP="00B13E72">
            <w:pPr>
              <w:keepNext/>
              <w:keepLines/>
              <w:spacing w:before="20" w:after="20"/>
              <w:jc w:val="both"/>
              <w:rPr>
                <w:rFonts w:cs="Calibri Light"/>
                <w:sz w:val="20"/>
                <w:szCs w:val="20"/>
              </w:rPr>
            </w:pPr>
            <w:r>
              <w:rPr>
                <w:rFonts w:cs="Calibri Light"/>
                <w:sz w:val="20"/>
                <w:szCs w:val="20"/>
              </w:rPr>
              <w:t>First revision of workpaper</w:t>
            </w:r>
          </w:p>
          <w:p w14:paraId="63CB7EC2" w14:textId="2D1FED44" w:rsidR="007C65A9" w:rsidRDefault="007C65A9" w:rsidP="00B13E72">
            <w:pPr>
              <w:keepNext/>
              <w:keepLines/>
              <w:spacing w:before="20" w:after="20"/>
              <w:jc w:val="both"/>
              <w:rPr>
                <w:rFonts w:cs="Calibri Light"/>
                <w:sz w:val="20"/>
                <w:szCs w:val="20"/>
              </w:rPr>
            </w:pPr>
            <w:r>
              <w:rPr>
                <w:rFonts w:cs="Calibri Light"/>
                <w:sz w:val="20"/>
                <w:szCs w:val="20"/>
              </w:rPr>
              <w:t>Added in new measure case for heating load only (no AC)</w:t>
            </w:r>
          </w:p>
          <w:p w14:paraId="3CDE0233" w14:textId="5624BA21" w:rsidR="007C65A9" w:rsidRDefault="007C65A9" w:rsidP="00B13E72">
            <w:pPr>
              <w:keepNext/>
              <w:keepLines/>
              <w:spacing w:before="20" w:after="20"/>
              <w:jc w:val="both"/>
              <w:rPr>
                <w:rFonts w:cs="Calibri Light"/>
                <w:sz w:val="20"/>
                <w:szCs w:val="20"/>
              </w:rPr>
            </w:pPr>
            <w:r>
              <w:rPr>
                <w:rFonts w:cs="Calibri Light"/>
                <w:sz w:val="20"/>
                <w:szCs w:val="20"/>
              </w:rPr>
              <w:t>Added in new Statewide IDs for new measure case with no existing AC load</w:t>
            </w:r>
          </w:p>
          <w:p w14:paraId="45E67A25" w14:textId="77777777" w:rsidR="007C65A9" w:rsidRDefault="007C65A9" w:rsidP="00B13E72">
            <w:pPr>
              <w:keepNext/>
              <w:keepLines/>
              <w:spacing w:before="20" w:after="20"/>
              <w:jc w:val="both"/>
              <w:rPr>
                <w:rFonts w:cs="Calibri Light"/>
                <w:sz w:val="20"/>
                <w:szCs w:val="20"/>
              </w:rPr>
            </w:pPr>
            <w:r>
              <w:rPr>
                <w:rFonts w:cs="Calibri Light"/>
                <w:sz w:val="20"/>
                <w:szCs w:val="20"/>
              </w:rPr>
              <w:t>Updated costs for new measure case</w:t>
            </w:r>
          </w:p>
          <w:p w14:paraId="3B141F1B" w14:textId="77777777" w:rsidR="007C65A9" w:rsidRDefault="007C65A9" w:rsidP="00B13E72">
            <w:pPr>
              <w:keepNext/>
              <w:keepLines/>
              <w:spacing w:before="20" w:after="20"/>
              <w:jc w:val="both"/>
              <w:rPr>
                <w:rFonts w:cs="Calibri Light"/>
                <w:sz w:val="20"/>
                <w:szCs w:val="20"/>
              </w:rPr>
            </w:pPr>
          </w:p>
          <w:p w14:paraId="5904E15C" w14:textId="241E387D" w:rsidR="007C65A9" w:rsidRDefault="007C65A9" w:rsidP="00B13E72">
            <w:pPr>
              <w:keepNext/>
              <w:keepLines/>
              <w:spacing w:before="20" w:after="20"/>
              <w:jc w:val="both"/>
              <w:rPr>
                <w:rFonts w:cs="Calibri Light"/>
                <w:sz w:val="20"/>
                <w:szCs w:val="20"/>
              </w:rPr>
            </w:pPr>
            <w:r>
              <w:rPr>
                <w:rFonts w:cs="Calibri Light"/>
                <w:sz w:val="20"/>
                <w:szCs w:val="20"/>
              </w:rPr>
              <w:t>Updated baseline and measure case efficiencies based on MASControl tech workbook</w:t>
            </w:r>
          </w:p>
          <w:p w14:paraId="08B10A33" w14:textId="14C02FF7" w:rsidR="007C65A9" w:rsidRDefault="007C65A9" w:rsidP="00B13E72">
            <w:pPr>
              <w:keepNext/>
              <w:keepLines/>
              <w:spacing w:before="20" w:after="20"/>
              <w:jc w:val="both"/>
              <w:rPr>
                <w:rFonts w:cs="Calibri Light"/>
                <w:sz w:val="20"/>
                <w:szCs w:val="20"/>
              </w:rPr>
            </w:pPr>
            <w:r>
              <w:rPr>
                <w:rFonts w:cs="Calibri Light"/>
                <w:sz w:val="20"/>
                <w:szCs w:val="20"/>
              </w:rPr>
              <w:t>Savings estimated using DEER2022 weather files</w:t>
            </w:r>
          </w:p>
        </w:tc>
      </w:tr>
      <w:tr w:rsidR="00090274" w:rsidRPr="00C6243E" w14:paraId="2A37DACB" w14:textId="77777777" w:rsidTr="00375BD8">
        <w:trPr>
          <w:trHeight w:val="20"/>
        </w:trPr>
        <w:tc>
          <w:tcPr>
            <w:tcW w:w="503" w:type="pct"/>
            <w:vMerge/>
          </w:tcPr>
          <w:p w14:paraId="7E4F3679" w14:textId="77777777" w:rsidR="00090274" w:rsidRDefault="00090274" w:rsidP="00090274">
            <w:pPr>
              <w:keepNext/>
              <w:keepLines/>
              <w:spacing w:before="20" w:after="20"/>
              <w:jc w:val="both"/>
              <w:rPr>
                <w:rFonts w:cs="Calibri Light"/>
                <w:sz w:val="20"/>
                <w:szCs w:val="20"/>
              </w:rPr>
            </w:pPr>
          </w:p>
        </w:tc>
        <w:tc>
          <w:tcPr>
            <w:tcW w:w="722" w:type="pct"/>
          </w:tcPr>
          <w:p w14:paraId="3FE9AD21" w14:textId="56AF95BD" w:rsidR="00090274" w:rsidRDefault="00090274" w:rsidP="00090274">
            <w:pPr>
              <w:keepNext/>
              <w:keepLines/>
              <w:spacing w:before="20" w:after="20"/>
              <w:jc w:val="both"/>
              <w:rPr>
                <w:rFonts w:cs="Calibri Light"/>
                <w:sz w:val="20"/>
                <w:szCs w:val="20"/>
              </w:rPr>
            </w:pPr>
            <w:r>
              <w:rPr>
                <w:rFonts w:cs="Calibri Light"/>
                <w:sz w:val="20"/>
                <w:szCs w:val="20"/>
              </w:rPr>
              <w:t>11/</w:t>
            </w:r>
            <w:r w:rsidR="0005791E">
              <w:rPr>
                <w:rFonts w:cs="Calibri Light"/>
                <w:sz w:val="20"/>
                <w:szCs w:val="20"/>
              </w:rPr>
              <w:t>30</w:t>
            </w:r>
            <w:r>
              <w:rPr>
                <w:rFonts w:cs="Calibri Light"/>
                <w:sz w:val="20"/>
                <w:szCs w:val="20"/>
              </w:rPr>
              <w:t>/2021</w:t>
            </w:r>
          </w:p>
        </w:tc>
        <w:tc>
          <w:tcPr>
            <w:tcW w:w="1130" w:type="pct"/>
          </w:tcPr>
          <w:p w14:paraId="02A3977E" w14:textId="215E5949" w:rsidR="00090274" w:rsidRDefault="00090274" w:rsidP="006570E5">
            <w:pPr>
              <w:keepNext/>
              <w:keepLines/>
              <w:spacing w:before="20" w:after="20"/>
              <w:rPr>
                <w:rFonts w:cs="Calibri Light"/>
                <w:sz w:val="20"/>
                <w:szCs w:val="20"/>
              </w:rPr>
            </w:pPr>
            <w:r>
              <w:rPr>
                <w:spacing w:val="-1"/>
                <w:sz w:val="20"/>
              </w:rPr>
              <w:t xml:space="preserve">Akhilesh Endurthy, Solaris-Technical, LLC. </w:t>
            </w:r>
          </w:p>
        </w:tc>
        <w:tc>
          <w:tcPr>
            <w:tcW w:w="2645" w:type="pct"/>
          </w:tcPr>
          <w:p w14:paraId="58F781B5" w14:textId="704B1A60" w:rsidR="00090274" w:rsidRPr="0005791E" w:rsidRDefault="00090274" w:rsidP="0005791E">
            <w:pPr>
              <w:pStyle w:val="TableParagraph"/>
              <w:ind w:left="0" w:right="35"/>
              <w:rPr>
                <w:sz w:val="20"/>
              </w:rPr>
            </w:pPr>
            <w:r>
              <w:rPr>
                <w:sz w:val="20"/>
              </w:rPr>
              <w:t xml:space="preserve">Addendum to report refrigerant avoided cost calculations in compliance with Resolution E-5152. </w:t>
            </w:r>
          </w:p>
        </w:tc>
      </w:tr>
      <w:bookmarkEnd w:id="74"/>
      <w:bookmarkEnd w:id="75"/>
      <w:bookmarkEnd w:id="77"/>
    </w:tbl>
    <w:p w14:paraId="3F8C3902" w14:textId="77777777" w:rsidR="00DD567C" w:rsidRDefault="00DD567C" w:rsidP="00B13E72">
      <w:pPr>
        <w:jc w:val="both"/>
      </w:pPr>
    </w:p>
    <w:sectPr w:rsidR="00DD567C" w:rsidSect="00375BD8">
      <w:headerReference w:type="default" r:id="rId24"/>
      <w:headerReference w:type="first" r:id="rId25"/>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51DB68" w14:textId="77777777" w:rsidR="00EF553B" w:rsidRDefault="00EF553B" w:rsidP="00375BD8">
      <w:pPr>
        <w:spacing w:before="0" w:after="0" w:line="240" w:lineRule="auto"/>
      </w:pPr>
      <w:r>
        <w:separator/>
      </w:r>
    </w:p>
  </w:endnote>
  <w:endnote w:type="continuationSeparator" w:id="0">
    <w:p w14:paraId="105EF80A" w14:textId="77777777" w:rsidR="00EF553B" w:rsidRDefault="00EF553B" w:rsidP="00375BD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Next">
    <w:altName w:val="Calibri"/>
    <w:charset w:val="00"/>
    <w:family w:val="swiss"/>
    <w:pitch w:val="variable"/>
    <w:sig w:usb0="00000001"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4E60E1" w14:textId="77777777" w:rsidR="009772AA" w:rsidRDefault="009772AA" w:rsidP="00375BD8">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1CFD3266" wp14:editId="388325C8">
          <wp:extent cx="2223135" cy="160885"/>
          <wp:effectExtent l="0" t="0" r="0" b="0"/>
          <wp:docPr id="5" name="Picture 5"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2FE783DC" w14:textId="77777777" w:rsidR="009772AA" w:rsidRPr="00B837C1" w:rsidRDefault="009772AA" w:rsidP="00375BD8">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FEB67" w14:textId="77777777" w:rsidR="009772AA" w:rsidRDefault="009772AA" w:rsidP="00375BD8">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9264" behindDoc="0" locked="0" layoutInCell="1" allowOverlap="1" wp14:anchorId="1A4D4260" wp14:editId="20F812C0">
          <wp:simplePos x="0" y="0"/>
          <wp:positionH relativeFrom="column">
            <wp:posOffset>2863850</wp:posOffset>
          </wp:positionH>
          <wp:positionV relativeFrom="paragraph">
            <wp:posOffset>-138781</wp:posOffset>
          </wp:positionV>
          <wp:extent cx="210820" cy="579335"/>
          <wp:effectExtent l="0" t="6350" r="11430" b="11430"/>
          <wp:wrapNone/>
          <wp:docPr id="6" name="Picture 6"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2684F7" w14:textId="77777777" w:rsidR="009772AA" w:rsidRPr="00B837C1" w:rsidRDefault="009772AA" w:rsidP="00375BD8">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21</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FF90A" w14:textId="77777777" w:rsidR="009772AA" w:rsidRDefault="009772AA" w:rsidP="00375BD8">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383E3D8" wp14:editId="55C8C9FB">
          <wp:simplePos x="0" y="0"/>
          <wp:positionH relativeFrom="column">
            <wp:posOffset>2863850</wp:posOffset>
          </wp:positionH>
          <wp:positionV relativeFrom="paragraph">
            <wp:posOffset>-138781</wp:posOffset>
          </wp:positionV>
          <wp:extent cx="210820" cy="579335"/>
          <wp:effectExtent l="0" t="6350" r="11430" b="11430"/>
          <wp:wrapNone/>
          <wp:docPr id="8" name="Picture 8"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B1F7D6" w14:textId="77777777" w:rsidR="009772AA" w:rsidRPr="005F505E" w:rsidRDefault="009772AA" w:rsidP="00375BD8">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D37A99" w14:textId="77777777" w:rsidR="00EF553B" w:rsidRDefault="00EF553B" w:rsidP="00375BD8">
      <w:pPr>
        <w:spacing w:before="0" w:after="0" w:line="240" w:lineRule="auto"/>
      </w:pPr>
      <w:r>
        <w:separator/>
      </w:r>
    </w:p>
  </w:footnote>
  <w:footnote w:type="continuationSeparator" w:id="0">
    <w:p w14:paraId="557C12B0" w14:textId="77777777" w:rsidR="00EF553B" w:rsidRDefault="00EF553B" w:rsidP="00375BD8">
      <w:pPr>
        <w:spacing w:before="0" w:after="0" w:line="240" w:lineRule="auto"/>
      </w:pPr>
      <w:r>
        <w:continuationSeparator/>
      </w:r>
    </w:p>
  </w:footnote>
  <w:footnote w:id="1">
    <w:p w14:paraId="140DDE56" w14:textId="68DA7553" w:rsidR="009772AA" w:rsidRDefault="009772AA">
      <w:pPr>
        <w:pStyle w:val="FootnoteText"/>
      </w:pPr>
      <w:r>
        <w:rPr>
          <w:rStyle w:val="FootnoteReference"/>
        </w:rPr>
        <w:footnoteRef/>
      </w:r>
      <w:r>
        <w:t xml:space="preserve"> </w:t>
      </w:r>
      <w:r>
        <w:rPr>
          <w:szCs w:val="18"/>
        </w:rPr>
        <w:t>Southern California Edison (SCE). 2021. “</w:t>
      </w:r>
      <w:r w:rsidRPr="007D108E">
        <w:t>SWHC044-02_TechData_PkgHVAC Updates</w:t>
      </w:r>
      <w:r>
        <w:t xml:space="preserve">.xlsm”, </w:t>
      </w:r>
      <w:r w:rsidRPr="007D108E">
        <w:t>SEERDxTechData</w:t>
      </w:r>
      <w:r>
        <w:t xml:space="preserve"> tab.</w:t>
      </w:r>
    </w:p>
  </w:footnote>
  <w:footnote w:id="2">
    <w:p w14:paraId="3560C36B" w14:textId="77777777" w:rsidR="009772AA" w:rsidRDefault="009772AA" w:rsidP="00570C81">
      <w:pPr>
        <w:pStyle w:val="FootnoteText"/>
      </w:pPr>
      <w:r>
        <w:rPr>
          <w:rStyle w:val="FootnoteReference"/>
        </w:rPr>
        <w:footnoteRef/>
      </w:r>
      <w:r>
        <w:t xml:space="preserve"> California Energy Commission (CEC) Title 20 </w:t>
      </w:r>
      <w:r w:rsidRPr="00226A90">
        <w:rPr>
          <w:szCs w:val="20"/>
        </w:rPr>
        <w:t>§</w:t>
      </w:r>
      <w:r>
        <w:rPr>
          <w:szCs w:val="20"/>
        </w:rPr>
        <w:t xml:space="preserve"> </w:t>
      </w:r>
      <w:r>
        <w:t xml:space="preserve">1605.1(1) and 1605.1(2) </w:t>
      </w:r>
    </w:p>
  </w:footnote>
  <w:footnote w:id="3">
    <w:p w14:paraId="5C35BFDA" w14:textId="77777777" w:rsidR="009772AA" w:rsidRDefault="009772AA" w:rsidP="00570C81">
      <w:pPr>
        <w:pStyle w:val="FootnoteText"/>
      </w:pPr>
      <w:r>
        <w:rPr>
          <w:rStyle w:val="FootnoteReference"/>
        </w:rPr>
        <w:footnoteRef/>
      </w:r>
      <w:r>
        <w:t xml:space="preserve"> US Department of Energy (DOE) 10 CFR </w:t>
      </w:r>
      <w:r w:rsidRPr="00226A90">
        <w:rPr>
          <w:szCs w:val="20"/>
        </w:rPr>
        <w:t>§</w:t>
      </w:r>
      <w:r>
        <w:rPr>
          <w:szCs w:val="20"/>
        </w:rPr>
        <w:t xml:space="preserve"> 430.2(i)(2) and 430.2(b)</w:t>
      </w:r>
    </w:p>
  </w:footnote>
  <w:footnote w:id="4">
    <w:p w14:paraId="63B707D9" w14:textId="77777777" w:rsidR="009772AA" w:rsidRDefault="009772AA" w:rsidP="00F236D3">
      <w:pPr>
        <w:pStyle w:val="FootnoteText"/>
      </w:pPr>
      <w:r>
        <w:rPr>
          <w:rStyle w:val="FootnoteReference"/>
        </w:rPr>
        <w:footnoteRef/>
      </w:r>
      <w:r>
        <w:t xml:space="preserve"> California Public Utilities Commission (CPUC). 2019. “Decision 19-08-009 Rulemaking 13-11-005 Decision Modifying the Energy Efficiency Three-Prong Test Related to Fuel Substitution”. August 1.</w:t>
      </w:r>
    </w:p>
  </w:footnote>
  <w:footnote w:id="5">
    <w:p w14:paraId="7FB4FDAC" w14:textId="1D3955AB" w:rsidR="009772AA" w:rsidRDefault="009772AA" w:rsidP="00F236D3">
      <w:pPr>
        <w:pStyle w:val="FootnoteText"/>
      </w:pPr>
      <w:r>
        <w:rPr>
          <w:rStyle w:val="FootnoteReference"/>
        </w:rPr>
        <w:footnoteRef/>
      </w:r>
      <w:r>
        <w:t xml:space="preserve"> Southern California Edison (SCE). 2021. “SWHC044-02 Fuel Substitution Calculator.xlsx”.</w:t>
      </w:r>
    </w:p>
  </w:footnote>
  <w:footnote w:id="6">
    <w:p w14:paraId="62B63F1E" w14:textId="77777777" w:rsidR="009772AA" w:rsidRDefault="009772AA" w:rsidP="001048F9">
      <w:pPr>
        <w:pStyle w:val="FootnoteText"/>
      </w:pPr>
      <w:r>
        <w:rPr>
          <w:rStyle w:val="FootnoteReference"/>
        </w:rPr>
        <w:footnoteRef/>
      </w:r>
      <w:r>
        <w:t xml:space="preserve"> Fuel Substitution Technical Guidance-v1.1</w:t>
      </w:r>
    </w:p>
  </w:footnote>
  <w:footnote w:id="7">
    <w:p w14:paraId="46F32E40" w14:textId="77777777" w:rsidR="009772AA" w:rsidRDefault="009772AA" w:rsidP="003524F6">
      <w:pPr>
        <w:pStyle w:val="FootnoteText"/>
      </w:pPr>
      <w:r>
        <w:rPr>
          <w:rStyle w:val="FootnoteReference"/>
        </w:rPr>
        <w:footnoteRef/>
      </w:r>
      <w:r>
        <w:t xml:space="preserve"> California Energy Commission. 2010. “2009 California Residential Appliance Saturation Study”.</w:t>
      </w:r>
    </w:p>
  </w:footnote>
  <w:footnote w:id="8">
    <w:p w14:paraId="6D51F57B" w14:textId="77777777" w:rsidR="009772AA" w:rsidRDefault="009772AA" w:rsidP="00F236D3">
      <w:pPr>
        <w:pStyle w:val="FootnoteText"/>
      </w:pPr>
      <w:r>
        <w:rPr>
          <w:rStyle w:val="FootnoteReference"/>
        </w:rPr>
        <w:footnoteRef/>
      </w:r>
      <w:r>
        <w:t xml:space="preserve"> </w:t>
      </w:r>
      <w:r w:rsidRPr="00910778">
        <w:t>California Public Utilities Commission (CPUC). 2019. “Decision 19-08-009 Rulemaking 13-11-005 Decision Modifying the Energy Efficiency Three-Prong Test Related to Fuel Substitution”. August 1</w:t>
      </w:r>
    </w:p>
  </w:footnote>
  <w:footnote w:id="9">
    <w:p w14:paraId="4A30AC74" w14:textId="1B92E4CC" w:rsidR="009772AA" w:rsidRDefault="009772AA">
      <w:pPr>
        <w:pStyle w:val="FootnoteText"/>
      </w:pPr>
      <w:r>
        <w:rPr>
          <w:rStyle w:val="FootnoteReference"/>
        </w:rPr>
        <w:footnoteRef/>
      </w:r>
      <w:r>
        <w:t xml:space="preserve"> California Energy Commission. 2010. “2009 California Residential Appliance Saturation Study”.</w:t>
      </w:r>
    </w:p>
  </w:footnote>
  <w:footnote w:id="10">
    <w:p w14:paraId="101A92B3" w14:textId="52049683" w:rsidR="009772AA" w:rsidRDefault="009772AA">
      <w:pPr>
        <w:pStyle w:val="FootnoteText"/>
      </w:pPr>
      <w:r>
        <w:rPr>
          <w:rStyle w:val="FootnoteReference"/>
        </w:rPr>
        <w:footnoteRef/>
      </w:r>
      <w:r>
        <w:t xml:space="preserve"> Air-Conditioning, Heating, &amp; Refrigeration Institute (AHRI). 2017. “2017 Standard for </w:t>
      </w:r>
      <w:r w:rsidRPr="005C5B83">
        <w:t>Performance Rating of Unitary Air-conditioning &amp; Air-source Heat Pump Equipment</w:t>
      </w:r>
      <w:r>
        <w:t>”</w:t>
      </w:r>
    </w:p>
  </w:footnote>
  <w:footnote w:id="11">
    <w:p w14:paraId="6E89D33A" w14:textId="52F4C423" w:rsidR="009772AA" w:rsidRDefault="009772AA">
      <w:pPr>
        <w:pStyle w:val="FootnoteText"/>
      </w:pPr>
      <w:r>
        <w:rPr>
          <w:rStyle w:val="FootnoteReference"/>
        </w:rPr>
        <w:footnoteRef/>
      </w:r>
      <w:r>
        <w:t xml:space="preserve"> US Department of Energy (DOE) 10 CFR </w:t>
      </w:r>
      <w:r w:rsidRPr="00226A90">
        <w:rPr>
          <w:szCs w:val="20"/>
        </w:rPr>
        <w:t>§</w:t>
      </w:r>
      <w:r>
        <w:rPr>
          <w:szCs w:val="20"/>
        </w:rPr>
        <w:t xml:space="preserve"> 429.16.</w:t>
      </w:r>
    </w:p>
  </w:footnote>
  <w:footnote w:id="12">
    <w:p w14:paraId="5330D0D9" w14:textId="20C5D872" w:rsidR="009772AA" w:rsidRDefault="009772AA">
      <w:pPr>
        <w:pStyle w:val="FootnoteText"/>
      </w:pPr>
      <w:r>
        <w:rPr>
          <w:rStyle w:val="FootnoteReference"/>
        </w:rPr>
        <w:footnoteRef/>
      </w:r>
      <w:r>
        <w:t xml:space="preserve"> </w:t>
      </w:r>
      <w:r>
        <w:rPr>
          <w:szCs w:val="18"/>
        </w:rPr>
        <w:t>Southern California Edison (SCE). 2021. “</w:t>
      </w:r>
      <w:r w:rsidRPr="007D108E">
        <w:t>SWHC044-02_TechData_PkgHVAC Updates</w:t>
      </w:r>
      <w:r>
        <w:t xml:space="preserve">.xlsm”, </w:t>
      </w:r>
      <w:r w:rsidRPr="007D108E">
        <w:t>SEERDxTechData</w:t>
      </w:r>
      <w:r>
        <w:t xml:space="preserve"> tab. </w:t>
      </w:r>
    </w:p>
  </w:footnote>
  <w:footnote w:id="13">
    <w:p w14:paraId="2ACDA44C" w14:textId="0A8EB409" w:rsidR="009772AA" w:rsidRDefault="009772AA">
      <w:pPr>
        <w:pStyle w:val="FootnoteText"/>
      </w:pPr>
      <w:r>
        <w:rPr>
          <w:rStyle w:val="FootnoteReference"/>
        </w:rPr>
        <w:footnoteRef/>
      </w:r>
      <w:r>
        <w:t xml:space="preserve"> </w:t>
      </w:r>
      <w:r>
        <w:rPr>
          <w:szCs w:val="18"/>
        </w:rPr>
        <w:t>Southern California Edison (SCE). 2021. “</w:t>
      </w:r>
      <w:r w:rsidRPr="007D108E">
        <w:t>SWHC044-02_TechData_PkgHVAC Updates</w:t>
      </w:r>
      <w:r>
        <w:t xml:space="preserve">.xlsm”, </w:t>
      </w:r>
      <w:r w:rsidRPr="007D108E">
        <w:t>SEERDxTechData</w:t>
      </w:r>
      <w:r>
        <w:t xml:space="preserve"> tab.</w:t>
      </w:r>
    </w:p>
  </w:footnote>
  <w:footnote w:id="14">
    <w:p w14:paraId="115CC4F9" w14:textId="774B3174" w:rsidR="009772AA" w:rsidRDefault="009772AA">
      <w:pPr>
        <w:pStyle w:val="FootnoteText"/>
      </w:pPr>
      <w:r>
        <w:rPr>
          <w:rStyle w:val="FootnoteReference"/>
        </w:rPr>
        <w:footnoteRef/>
      </w:r>
      <w:r>
        <w:t xml:space="preserve"> </w:t>
      </w:r>
      <w:r>
        <w:rPr>
          <w:szCs w:val="18"/>
        </w:rPr>
        <w:t>Southern California Edison (SCE). 2021. “</w:t>
      </w:r>
      <w:r w:rsidRPr="007D108E">
        <w:t>SWHC044-02_TechData_PkgHVAC Updates</w:t>
      </w:r>
      <w:r>
        <w:t>.xlsm”, MscTechData tab.</w:t>
      </w:r>
    </w:p>
  </w:footnote>
  <w:footnote w:id="15">
    <w:p w14:paraId="20BA2C8D" w14:textId="0C1F6C6B" w:rsidR="009772AA" w:rsidRDefault="009772AA" w:rsidP="00010710">
      <w:pPr>
        <w:pStyle w:val="FootnoteText"/>
      </w:pPr>
      <w:r>
        <w:rPr>
          <w:rStyle w:val="FootnoteReference"/>
        </w:rPr>
        <w:footnoteRef/>
      </w:r>
      <w:r>
        <w:t xml:space="preserve"> </w:t>
      </w:r>
      <w:r w:rsidRPr="00010710">
        <w:t>Pacific Energy Center</w:t>
      </w:r>
      <w:r>
        <w:t xml:space="preserve">. 2006. “The Pacific Energy Center’s Guide to: California Climate Zones </w:t>
      </w:r>
      <w:r w:rsidRPr="005B3516">
        <w:t>and Bioclimatic Design</w:t>
      </w:r>
    </w:p>
  </w:footnote>
  <w:footnote w:id="16">
    <w:p w14:paraId="02832150" w14:textId="54D14DD3" w:rsidR="009772AA" w:rsidRDefault="009772AA">
      <w:pPr>
        <w:pStyle w:val="FootnoteText"/>
      </w:pPr>
      <w:r>
        <w:rPr>
          <w:rStyle w:val="FootnoteReference"/>
        </w:rPr>
        <w:footnoteRef/>
      </w:r>
      <w:r>
        <w:t xml:space="preserve"> </w:t>
      </w:r>
      <w:r w:rsidRPr="00910778">
        <w:t xml:space="preserve">California Public Utilities Commission. </w:t>
      </w:r>
      <w:r>
        <w:t>2019. MASControl3 “DEER_Tools_2019_09_30.zip”, SupportTables folder, “</w:t>
      </w:r>
      <w:r w:rsidRPr="00131565">
        <w:t>reststatwt.sql</w:t>
      </w:r>
      <w:r>
        <w:t xml:space="preserve">” file. </w:t>
      </w:r>
    </w:p>
  </w:footnote>
  <w:footnote w:id="17">
    <w:p w14:paraId="26B5682B" w14:textId="5AF28E8F" w:rsidR="009772AA" w:rsidRDefault="009772AA" w:rsidP="00F236D3">
      <w:pPr>
        <w:pStyle w:val="FootnoteText"/>
      </w:pPr>
      <w:r>
        <w:rPr>
          <w:rStyle w:val="FootnoteReference"/>
        </w:rPr>
        <w:footnoteRef/>
      </w:r>
      <w:r>
        <w:rPr>
          <w:szCs w:val="18"/>
        </w:rPr>
        <w:t>Southern California Edison (SCE). 2021.</w:t>
      </w:r>
      <w:r>
        <w:t xml:space="preserve"> “</w:t>
      </w:r>
      <w:r w:rsidRPr="002473CC">
        <w:t>SWHC044-0</w:t>
      </w:r>
      <w:r>
        <w:t>2</w:t>
      </w:r>
      <w:r w:rsidRPr="002473CC">
        <w:t xml:space="preserve"> Energy Savings Calculations.xlsx</w:t>
      </w:r>
      <w:r>
        <w:t>”</w:t>
      </w:r>
    </w:p>
  </w:footnote>
  <w:footnote w:id="18">
    <w:p w14:paraId="6EC024E9" w14:textId="77777777" w:rsidR="009772AA" w:rsidRDefault="009772AA" w:rsidP="0096130A">
      <w:pPr>
        <w:pStyle w:val="FootnoteText"/>
      </w:pPr>
      <w:r>
        <w:rPr>
          <w:rStyle w:val="FootnoteReference"/>
        </w:rPr>
        <w:footnoteRef/>
      </w:r>
      <w:r>
        <w:t xml:space="preserve"> </w:t>
      </w:r>
      <w:r w:rsidRPr="00910778">
        <w:t>California Public Utilities Commission. 2019. “Fuel Substitution Technical Guidance for Energy Efficiency”.</w:t>
      </w:r>
    </w:p>
  </w:footnote>
  <w:footnote w:id="19">
    <w:p w14:paraId="61114258" w14:textId="77777777" w:rsidR="009772AA" w:rsidRDefault="009772AA" w:rsidP="00E3049F">
      <w:pPr>
        <w:pStyle w:val="FootnoteText"/>
      </w:pPr>
      <w:r>
        <w:rPr>
          <w:rStyle w:val="FootnoteReference"/>
        </w:rPr>
        <w:footnoteRef/>
      </w:r>
      <w:r>
        <w:t xml:space="preserve"> Southern California Gas. 2013. “Emerging Technologies Assessment Report. PROJECT ID E12SCG0018. HIGH EFFICIENCY NATURAL GAS WALL FURNACE FIELD EVALUATION”</w:t>
      </w:r>
    </w:p>
  </w:footnote>
  <w:footnote w:id="20">
    <w:p w14:paraId="703957B3" w14:textId="54E473C5" w:rsidR="009772AA" w:rsidRDefault="009772AA">
      <w:pPr>
        <w:pStyle w:val="FootnoteText"/>
      </w:pPr>
      <w:r>
        <w:rPr>
          <w:rStyle w:val="FootnoteReference"/>
        </w:rPr>
        <w:footnoteRef/>
      </w:r>
      <w:r>
        <w:t xml:space="preserve"> Southern California Edison. 2021. “</w:t>
      </w:r>
      <w:r w:rsidRPr="00001176">
        <w:t>SWHC044-0</w:t>
      </w:r>
      <w:r>
        <w:t>2</w:t>
      </w:r>
      <w:r w:rsidRPr="00001176">
        <w:t xml:space="preserve"> </w:t>
      </w:r>
      <w:r>
        <w:t>Ductless HVAC Cost</w:t>
      </w:r>
      <w:r w:rsidRPr="00001176">
        <w:t>.xlsx</w:t>
      </w:r>
      <w:r>
        <w:t>”</w:t>
      </w:r>
    </w:p>
  </w:footnote>
  <w:footnote w:id="21">
    <w:p w14:paraId="444D0A32" w14:textId="59CC3A21" w:rsidR="009772AA" w:rsidRDefault="009772AA" w:rsidP="00001176">
      <w:pPr>
        <w:pStyle w:val="FootnoteText"/>
      </w:pPr>
      <w:r>
        <w:rPr>
          <w:rStyle w:val="FootnoteReference"/>
        </w:rPr>
        <w:footnoteRef/>
      </w:r>
      <w:r>
        <w:t xml:space="preserve"> Southern California Edison. 2021. “</w:t>
      </w:r>
      <w:r w:rsidRPr="00001176">
        <w:t>SWHC044-0</w:t>
      </w:r>
      <w:r>
        <w:t>2</w:t>
      </w:r>
      <w:r w:rsidRPr="00001176">
        <w:t xml:space="preserve"> </w:t>
      </w:r>
      <w:r>
        <w:t>Ductless HVAC Cost</w:t>
      </w:r>
      <w:r w:rsidRPr="00001176">
        <w:t>.xlsx</w:t>
      </w:r>
      <w:r>
        <w:t>”</w:t>
      </w:r>
    </w:p>
  </w:footnote>
  <w:footnote w:id="22">
    <w:p w14:paraId="10BD347E" w14:textId="77777777" w:rsidR="009772AA" w:rsidRDefault="009772AA" w:rsidP="000D2A58">
      <w:pPr>
        <w:pStyle w:val="FootnoteText"/>
      </w:pPr>
      <w:r>
        <w:rPr>
          <w:rStyle w:val="FootnoteReference"/>
        </w:rPr>
        <w:footnoteRef/>
      </w:r>
      <w:r>
        <w:t xml:space="preserve"> 2014 RSMeans Facilities Construction Cost Data</w:t>
      </w:r>
    </w:p>
  </w:footnote>
  <w:footnote w:id="23">
    <w:p w14:paraId="6F59B345" w14:textId="6E30167C" w:rsidR="009772AA" w:rsidRDefault="009772AA" w:rsidP="00001176">
      <w:pPr>
        <w:pStyle w:val="FootnoteText"/>
      </w:pPr>
      <w:r>
        <w:rPr>
          <w:rStyle w:val="FootnoteReference"/>
        </w:rPr>
        <w:footnoteRef/>
      </w:r>
      <w:r>
        <w:t xml:space="preserve"> Southern California Edison. 2021. “</w:t>
      </w:r>
      <w:r w:rsidRPr="00001176">
        <w:t>SWHC044-0</w:t>
      </w:r>
      <w:r>
        <w:t>2</w:t>
      </w:r>
      <w:r w:rsidRPr="00001176">
        <w:t xml:space="preserve"> </w:t>
      </w:r>
      <w:r>
        <w:t>Ductless HVAC Cost</w:t>
      </w:r>
      <w:r w:rsidRPr="00001176">
        <w:t>.xlsx</w:t>
      </w:r>
      <w:r>
        <w:t>”</w:t>
      </w:r>
    </w:p>
  </w:footnote>
  <w:footnote w:id="24">
    <w:p w14:paraId="07AE2442" w14:textId="5ECD3C5A" w:rsidR="009772AA" w:rsidRDefault="009772AA">
      <w:pPr>
        <w:pStyle w:val="FootnoteText"/>
      </w:pPr>
      <w:r>
        <w:rPr>
          <w:rStyle w:val="FootnoteReference"/>
        </w:rPr>
        <w:footnoteRef/>
      </w:r>
      <w:r>
        <w:t xml:space="preserve"> </w:t>
      </w:r>
      <w:r w:rsidRPr="00873146">
        <w:t>201</w:t>
      </w:r>
      <w:r>
        <w:t>9</w:t>
      </w:r>
      <w:r w:rsidRPr="00873146">
        <w:t xml:space="preserve"> RSMeans </w:t>
      </w:r>
      <w:r>
        <w:t>Electrical</w:t>
      </w:r>
      <w:r w:rsidRPr="00873146">
        <w:t xml:space="preserve"> Cost Data</w:t>
      </w:r>
    </w:p>
  </w:footnote>
  <w:footnote w:id="25">
    <w:p w14:paraId="7E91C4BF" w14:textId="77777777" w:rsidR="009772AA" w:rsidRDefault="009772AA" w:rsidP="00340CB4">
      <w:pPr>
        <w:pStyle w:val="FootnoteText"/>
      </w:pPr>
      <w:r>
        <w:rPr>
          <w:rStyle w:val="FootnoteReference"/>
        </w:rPr>
        <w:footnoteRef/>
      </w:r>
      <w:r>
        <w:t xml:space="preserve"> </w:t>
      </w:r>
      <w:r w:rsidRPr="00873146">
        <w:t xml:space="preserve">RSMeans </w:t>
      </w:r>
      <w:r>
        <w:t xml:space="preserve">Residential Labor Rates, </w:t>
      </w:r>
      <w:r w:rsidRPr="00873146">
        <w:t>https://www.rsmeansonline.com/References/LABORRATE/2-Year%202019%20Labor%20Rates/Residential%20Labor%20Rates.PDF</w:t>
      </w:r>
      <w:r>
        <w:t xml:space="preserve"> , </w:t>
      </w:r>
      <w:r w:rsidRPr="00873146">
        <w:t>“</w:t>
      </w:r>
      <w:r>
        <w:t>Residential Labor Rates.</w:t>
      </w:r>
      <w:r w:rsidRPr="00873146">
        <w:t>pdf”</w:t>
      </w:r>
    </w:p>
  </w:footnote>
  <w:footnote w:id="26">
    <w:p w14:paraId="2E4BE893" w14:textId="0761C1B2" w:rsidR="009772AA" w:rsidRDefault="009772AA" w:rsidP="00001176">
      <w:pPr>
        <w:pStyle w:val="FootnoteText"/>
      </w:pPr>
      <w:r>
        <w:rPr>
          <w:rStyle w:val="FootnoteReference"/>
        </w:rPr>
        <w:footnoteRef/>
      </w:r>
      <w:r>
        <w:t xml:space="preserve"> Southern California Edison. 2021. “</w:t>
      </w:r>
      <w:r w:rsidRPr="00001176">
        <w:t>SWHC044-0</w:t>
      </w:r>
      <w:r>
        <w:t>2</w:t>
      </w:r>
      <w:r w:rsidRPr="00001176">
        <w:t xml:space="preserve"> </w:t>
      </w:r>
      <w:r>
        <w:t>Ductless HVAC</w:t>
      </w:r>
      <w:r w:rsidRPr="00001176">
        <w:t>.xlsx</w:t>
      </w:r>
      <w:r>
        <w:t>”</w:t>
      </w:r>
    </w:p>
  </w:footnote>
  <w:footnote w:id="27">
    <w:p w14:paraId="34C4544B" w14:textId="12EE762B" w:rsidR="009772AA" w:rsidRDefault="009772AA">
      <w:pPr>
        <w:pStyle w:val="FootnoteText"/>
      </w:pPr>
      <w:r>
        <w:rPr>
          <w:rStyle w:val="FootnoteReference"/>
        </w:rPr>
        <w:footnoteRef/>
      </w:r>
      <w:r>
        <w:t xml:space="preserve"> 2019 RSMeans Electrical Cost Data</w:t>
      </w:r>
    </w:p>
  </w:footnote>
  <w:footnote w:id="28">
    <w:p w14:paraId="4F451338" w14:textId="77777777" w:rsidR="009772AA" w:rsidRDefault="009772AA" w:rsidP="008A3AF0">
      <w:pPr>
        <w:pStyle w:val="FootnoteText"/>
      </w:pPr>
      <w:r>
        <w:rPr>
          <w:rStyle w:val="FootnoteReference"/>
        </w:rPr>
        <w:footnoteRef/>
      </w:r>
      <w:r>
        <w:t xml:space="preserve"> </w:t>
      </w:r>
      <w:r w:rsidRPr="00873146">
        <w:t xml:space="preserve">RSMeans </w:t>
      </w:r>
      <w:r>
        <w:t xml:space="preserve">Residential Labor Rates, </w:t>
      </w:r>
      <w:r w:rsidRPr="00873146">
        <w:t>https://www.rsmeansonline.com/References/LABORRATE/2-Year%202019%20Labor%20Rates/Residential%20Labor%20Rates.PDF</w:t>
      </w:r>
      <w:r>
        <w:t xml:space="preserve"> , </w:t>
      </w:r>
      <w:r w:rsidRPr="00873146">
        <w:t>“</w:t>
      </w:r>
      <w:r>
        <w:t>Residential Labor Rates.</w:t>
      </w:r>
      <w:r w:rsidRPr="00873146">
        <w:t>pdf”</w:t>
      </w:r>
    </w:p>
  </w:footnote>
  <w:footnote w:id="29">
    <w:p w14:paraId="1D890962" w14:textId="33A067BF" w:rsidR="009772AA" w:rsidRDefault="009772AA" w:rsidP="00001176">
      <w:pPr>
        <w:pStyle w:val="FootnoteText"/>
      </w:pPr>
      <w:r>
        <w:rPr>
          <w:rStyle w:val="FootnoteReference"/>
        </w:rPr>
        <w:footnoteRef/>
      </w:r>
      <w:r>
        <w:t xml:space="preserve"> Southern California Edison. 2021. “</w:t>
      </w:r>
      <w:r w:rsidRPr="00001176">
        <w:t>SWHC044-0</w:t>
      </w:r>
      <w:r>
        <w:t>2</w:t>
      </w:r>
      <w:r w:rsidRPr="00001176">
        <w:t xml:space="preserve"> </w:t>
      </w:r>
      <w:r>
        <w:t>Ductless HVAC Cost</w:t>
      </w:r>
      <w:r w:rsidRPr="00001176">
        <w:t>.xlsx</w:t>
      </w:r>
      <w:r>
        <w:t>”</w:t>
      </w:r>
    </w:p>
  </w:footnote>
  <w:footnote w:id="30">
    <w:p w14:paraId="3DDD95D6" w14:textId="77777777" w:rsidR="009772AA" w:rsidRDefault="009772AA" w:rsidP="008B3E65">
      <w:pPr>
        <w:pStyle w:val="FootnoteText"/>
      </w:pPr>
      <w:r>
        <w:rPr>
          <w:rStyle w:val="FootnoteReference"/>
        </w:rPr>
        <w:footnoteRef/>
      </w:r>
      <w:r>
        <w:t xml:space="preserve"> </w:t>
      </w:r>
      <w:r w:rsidRPr="00873146">
        <w:t xml:space="preserve">RSMeans </w:t>
      </w:r>
      <w:r>
        <w:t xml:space="preserve">Residential Labor Rates, </w:t>
      </w:r>
      <w:r w:rsidRPr="00873146">
        <w:t>https://www.rsmeansonline.com/References/LABORRATE/2-Year%202019%20Labor%20Rates/Residential%20Labor%20Rates.PDF</w:t>
      </w:r>
      <w:r>
        <w:t xml:space="preserve"> , </w:t>
      </w:r>
      <w:r w:rsidRPr="00873146">
        <w:t>“</w:t>
      </w:r>
      <w:r>
        <w:t>Residential Labor Rates.</w:t>
      </w:r>
      <w:r w:rsidRPr="00873146">
        <w:t>pdf”</w:t>
      </w:r>
    </w:p>
  </w:footnote>
  <w:footnote w:id="31">
    <w:p w14:paraId="7AE7B2B7" w14:textId="77777777" w:rsidR="009772AA" w:rsidRDefault="009772AA" w:rsidP="005335B3">
      <w:pPr>
        <w:pStyle w:val="FootnoteText"/>
      </w:pPr>
      <w:r>
        <w:rPr>
          <w:rStyle w:val="FootnoteReference"/>
        </w:rPr>
        <w:footnoteRef/>
      </w:r>
      <w:r>
        <w:t xml:space="preserve"> </w:t>
      </w:r>
      <w:r w:rsidRPr="00873146">
        <w:t>201</w:t>
      </w:r>
      <w:r>
        <w:t>9</w:t>
      </w:r>
      <w:r w:rsidRPr="00873146">
        <w:t xml:space="preserve"> RSMeans </w:t>
      </w:r>
      <w:r>
        <w:t>Electrical</w:t>
      </w:r>
      <w:r w:rsidRPr="00873146">
        <w:t xml:space="preserve"> Cost Data</w:t>
      </w:r>
    </w:p>
  </w:footnote>
  <w:footnote w:id="32">
    <w:p w14:paraId="25C00F57" w14:textId="77777777" w:rsidR="009772AA" w:rsidRDefault="009772AA" w:rsidP="005335B3">
      <w:pPr>
        <w:pStyle w:val="FootnoteText"/>
      </w:pPr>
      <w:r>
        <w:rPr>
          <w:rStyle w:val="FootnoteReference"/>
        </w:rPr>
        <w:footnoteRef/>
      </w:r>
      <w:r>
        <w:t xml:space="preserve"> 2014 RSMeans Facilities Construction Cost Data</w:t>
      </w:r>
    </w:p>
  </w:footnote>
  <w:footnote w:id="33">
    <w:p w14:paraId="1809D02F" w14:textId="77777777" w:rsidR="009772AA" w:rsidRDefault="009772AA" w:rsidP="00340CB4">
      <w:pPr>
        <w:pStyle w:val="FootnoteText"/>
      </w:pPr>
      <w:r>
        <w:rPr>
          <w:rStyle w:val="FootnoteReference"/>
        </w:rPr>
        <w:footnoteRef/>
      </w:r>
      <w:r>
        <w:t xml:space="preserve"> </w:t>
      </w:r>
      <w:r w:rsidRPr="00873146">
        <w:t xml:space="preserve">RSMeans </w:t>
      </w:r>
      <w:r>
        <w:t xml:space="preserve">Residential Labor Rates, </w:t>
      </w:r>
      <w:r w:rsidRPr="00873146">
        <w:t>https://www.rsmeansonline.com/References/LABORRATE/2-Year%202019%20Labor%20Rates/Residential%20Labor%20Rates.PDF</w:t>
      </w:r>
      <w:r>
        <w:t xml:space="preserve"> , </w:t>
      </w:r>
      <w:r w:rsidRPr="00873146">
        <w:t>“</w:t>
      </w:r>
      <w:r>
        <w:t>Residential Labor Rates.</w:t>
      </w:r>
      <w:r w:rsidRPr="00873146">
        <w:t>pdf”</w:t>
      </w:r>
    </w:p>
  </w:footnote>
  <w:footnote w:id="34">
    <w:p w14:paraId="1BBA8D5B" w14:textId="1D6A58C7" w:rsidR="009772AA" w:rsidRDefault="009772AA" w:rsidP="00001176">
      <w:pPr>
        <w:pStyle w:val="FootnoteText"/>
      </w:pPr>
      <w:r>
        <w:rPr>
          <w:rStyle w:val="FootnoteReference"/>
        </w:rPr>
        <w:footnoteRef/>
      </w:r>
      <w:r>
        <w:t xml:space="preserve"> Southern California Edison. 2021. “</w:t>
      </w:r>
      <w:r w:rsidRPr="00001176">
        <w:t>SWHC044-0</w:t>
      </w:r>
      <w:r>
        <w:t>2</w:t>
      </w:r>
      <w:r w:rsidRPr="00001176">
        <w:t xml:space="preserve"> </w:t>
      </w:r>
      <w:r>
        <w:t>Ductless HVAC Cost</w:t>
      </w:r>
      <w:r w:rsidRPr="00001176">
        <w:t>.xlsx</w:t>
      </w:r>
      <w:r>
        <w:t>”</w:t>
      </w:r>
    </w:p>
  </w:footnote>
  <w:footnote w:id="35">
    <w:p w14:paraId="3709361A" w14:textId="77777777" w:rsidR="009772AA" w:rsidRDefault="009772AA" w:rsidP="005335B3">
      <w:pPr>
        <w:pStyle w:val="FootnoteText"/>
      </w:pPr>
      <w:r>
        <w:rPr>
          <w:rStyle w:val="FootnoteReference"/>
        </w:rPr>
        <w:footnoteRef/>
      </w:r>
      <w:r>
        <w:t xml:space="preserve"> </w:t>
      </w:r>
      <w:r w:rsidRPr="00873146">
        <w:t xml:space="preserve">RSMeans </w:t>
      </w:r>
      <w:r>
        <w:t xml:space="preserve">Residential Labor Rates, </w:t>
      </w:r>
      <w:r w:rsidRPr="00873146">
        <w:t>https://www.rsmeansonline.com/References/LABORRATE/2-Year%202019%20Labor%20Rates/Residential%20Labor%20Rates.PDF</w:t>
      </w:r>
      <w:r>
        <w:t xml:space="preserve"> , </w:t>
      </w:r>
      <w:r w:rsidRPr="00873146">
        <w:t>“</w:t>
      </w:r>
      <w:r>
        <w:t>Residential Labor Rates.</w:t>
      </w:r>
      <w:r w:rsidRPr="00873146">
        <w:t>pdf”</w:t>
      </w:r>
    </w:p>
  </w:footnote>
  <w:footnote w:id="36">
    <w:p w14:paraId="6F2DF108" w14:textId="77777777" w:rsidR="009772AA" w:rsidRDefault="009772AA" w:rsidP="00E20381">
      <w:pPr>
        <w:pStyle w:val="FootnoteText"/>
      </w:pPr>
      <w:r>
        <w:rPr>
          <w:rStyle w:val="FootnoteReference"/>
        </w:rPr>
        <w:footnoteRef/>
      </w:r>
      <w:r>
        <w:t xml:space="preserve"> </w:t>
      </w:r>
      <w:r w:rsidRPr="00E30871">
        <w:t xml:space="preserve">California Public Utilities Commission. 2019. </w:t>
      </w:r>
      <w:r>
        <w:t>“</w:t>
      </w:r>
      <w:r w:rsidRPr="00E30871">
        <w:t>Fuel Substitution Technical Guidance for Energy Efficiency</w:t>
      </w:r>
      <w:r>
        <w:t>”</w:t>
      </w:r>
      <w:r w:rsidRPr="00E30871">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145C1" w14:textId="77777777" w:rsidR="009772AA" w:rsidRPr="000220A0" w:rsidRDefault="009772AA" w:rsidP="00375BD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9C2F8" w14:textId="77777777" w:rsidR="009772AA" w:rsidRDefault="009772AA">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13499BC2" w14:textId="77777777" w:rsidR="009772AA" w:rsidRDefault="009772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89030" w14:textId="77777777" w:rsidR="009772AA" w:rsidRDefault="009772AA" w:rsidP="00375BD8">
    <w:pPr>
      <w:jc w:val="center"/>
    </w:pPr>
  </w:p>
  <w:p w14:paraId="27608563" w14:textId="77777777" w:rsidR="009772AA" w:rsidRDefault="009772AA" w:rsidP="00375BD8">
    <w:pPr>
      <w:jc w:val="center"/>
    </w:pPr>
    <w:r>
      <w:rPr>
        <w:noProof/>
      </w:rPr>
      <w:drawing>
        <wp:inline distT="0" distB="0" distL="0" distR="0" wp14:anchorId="67F41A3A" wp14:editId="1A9F120B">
          <wp:extent cx="937307" cy="1405961"/>
          <wp:effectExtent l="0" t="0" r="2540" b="0"/>
          <wp:docPr id="7" name="Picture 7"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98D56" w14:textId="31D58A1B" w:rsidR="009772AA" w:rsidRDefault="009772AA" w:rsidP="00375BD8">
    <w:pPr>
      <w:pStyle w:val="Header"/>
    </w:pP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Ductless HVAC, Residential, Fuel Substitution</w:t>
    </w:r>
  </w:p>
  <w:p w14:paraId="0AAFC5FB" w14:textId="77777777" w:rsidR="009772AA" w:rsidRDefault="009772A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FB68F" w14:textId="77777777" w:rsidR="009772AA" w:rsidRDefault="009772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D5548"/>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15:restartNumberingAfterBreak="0">
    <w:nsid w:val="057A59C0"/>
    <w:multiLevelType w:val="hybridMultilevel"/>
    <w:tmpl w:val="A4DAC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B11D1"/>
    <w:multiLevelType w:val="hybridMultilevel"/>
    <w:tmpl w:val="89D65CF2"/>
    <w:lvl w:ilvl="0" w:tplc="442CD2A0">
      <w:start w:val="1"/>
      <w:numFmt w:val="bullet"/>
      <w:lvlText w:val="-"/>
      <w:lvlJc w:val="left"/>
      <w:pPr>
        <w:ind w:left="720" w:hanging="360"/>
      </w:pPr>
      <w:rPr>
        <w:rFonts w:ascii="Calibri Light" w:eastAsiaTheme="minorEastAsia" w:hAnsi="Calibri Light" w:cs="Calibri Ligh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761523"/>
    <w:multiLevelType w:val="hybridMultilevel"/>
    <w:tmpl w:val="4C1EAE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E2A30"/>
    <w:multiLevelType w:val="hybridMultilevel"/>
    <w:tmpl w:val="38D6C9E8"/>
    <w:lvl w:ilvl="0" w:tplc="44480520">
      <w:start w:val="1"/>
      <w:numFmt w:val="bulle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0C1B130A"/>
    <w:multiLevelType w:val="hybridMultilevel"/>
    <w:tmpl w:val="6ECCE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DE26AB"/>
    <w:multiLevelType w:val="hybridMultilevel"/>
    <w:tmpl w:val="4A7A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801FA"/>
    <w:multiLevelType w:val="hybridMultilevel"/>
    <w:tmpl w:val="078CF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1D4176"/>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9" w15:restartNumberingAfterBreak="0">
    <w:nsid w:val="1A817580"/>
    <w:multiLevelType w:val="hybridMultilevel"/>
    <w:tmpl w:val="FB6AC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2C36"/>
    <w:multiLevelType w:val="hybridMultilevel"/>
    <w:tmpl w:val="692676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6C257D"/>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D8360FC"/>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3" w15:restartNumberingAfterBreak="0">
    <w:nsid w:val="1D8C291F"/>
    <w:multiLevelType w:val="hybridMultilevel"/>
    <w:tmpl w:val="BDDAE5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D61CD5"/>
    <w:multiLevelType w:val="hybridMultilevel"/>
    <w:tmpl w:val="C2560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CC519A"/>
    <w:multiLevelType w:val="hybridMultilevel"/>
    <w:tmpl w:val="6DFA9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0D64C6"/>
    <w:multiLevelType w:val="multilevel"/>
    <w:tmpl w:val="753050A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15:restartNumberingAfterBreak="0">
    <w:nsid w:val="2ECB6C3D"/>
    <w:multiLevelType w:val="hybridMultilevel"/>
    <w:tmpl w:val="54E2B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FD24E58"/>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2FD369AD"/>
    <w:multiLevelType w:val="hybridMultilevel"/>
    <w:tmpl w:val="C7B04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C51F9D"/>
    <w:multiLevelType w:val="hybridMultilevel"/>
    <w:tmpl w:val="1BAE5C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80715E"/>
    <w:multiLevelType w:val="multilevel"/>
    <w:tmpl w:val="D8DE6B4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3" w15:restartNumberingAfterBreak="0">
    <w:nsid w:val="345A30BC"/>
    <w:multiLevelType w:val="hybridMultilevel"/>
    <w:tmpl w:val="B4D2581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4607929"/>
    <w:multiLevelType w:val="hybridMultilevel"/>
    <w:tmpl w:val="F81CF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3828D6"/>
    <w:multiLevelType w:val="hybridMultilevel"/>
    <w:tmpl w:val="02FCC226"/>
    <w:lvl w:ilvl="0" w:tplc="442CD2A0">
      <w:start w:val="1"/>
      <w:numFmt w:val="bullet"/>
      <w:lvlText w:val="-"/>
      <w:lvlJc w:val="left"/>
      <w:pPr>
        <w:ind w:left="720" w:hanging="360"/>
      </w:pPr>
      <w:rPr>
        <w:rFonts w:ascii="Calibri Light" w:eastAsiaTheme="minorEastAsia" w:hAnsi="Calibri Light" w:cs="Calibri Ligh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21567F"/>
    <w:multiLevelType w:val="hybridMultilevel"/>
    <w:tmpl w:val="363045C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290C0B"/>
    <w:multiLevelType w:val="hybridMultilevel"/>
    <w:tmpl w:val="62165F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B22A76"/>
    <w:multiLevelType w:val="hybridMultilevel"/>
    <w:tmpl w:val="3AE4C3B8"/>
    <w:lvl w:ilvl="0" w:tplc="442CD2A0">
      <w:start w:val="1"/>
      <w:numFmt w:val="bullet"/>
      <w:lvlText w:val="-"/>
      <w:lvlJc w:val="left"/>
      <w:pPr>
        <w:ind w:left="360" w:hanging="360"/>
      </w:pPr>
      <w:rPr>
        <w:rFonts w:ascii="Calibri Light" w:eastAsiaTheme="minorEastAsia" w:hAnsi="Calibri Light" w:cs="Calibri Ligh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5562486"/>
    <w:multiLevelType w:val="hybridMultilevel"/>
    <w:tmpl w:val="A470F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123543"/>
    <w:multiLevelType w:val="hybridMultilevel"/>
    <w:tmpl w:val="035AE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041816"/>
    <w:multiLevelType w:val="hybridMultilevel"/>
    <w:tmpl w:val="7BC6C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AC1992"/>
    <w:multiLevelType w:val="hybridMultilevel"/>
    <w:tmpl w:val="23B89F26"/>
    <w:lvl w:ilvl="0" w:tplc="CF9E6EB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CDE2E4B"/>
    <w:multiLevelType w:val="hybridMultilevel"/>
    <w:tmpl w:val="5D4E0A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E63522"/>
    <w:multiLevelType w:val="hybridMultilevel"/>
    <w:tmpl w:val="692676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E778C6"/>
    <w:multiLevelType w:val="hybridMultilevel"/>
    <w:tmpl w:val="4A32E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F165CE"/>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8" w15:restartNumberingAfterBreak="0">
    <w:nsid w:val="616A5FFB"/>
    <w:multiLevelType w:val="hybridMultilevel"/>
    <w:tmpl w:val="62165F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D41CE1"/>
    <w:multiLevelType w:val="hybridMultilevel"/>
    <w:tmpl w:val="EA125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514566"/>
    <w:multiLevelType w:val="hybridMultilevel"/>
    <w:tmpl w:val="54187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354E66"/>
    <w:multiLevelType w:val="multilevel"/>
    <w:tmpl w:val="6BF881A8"/>
    <w:lvl w:ilvl="0">
      <w:start w:val="1"/>
      <w:numFmt w:val="bullet"/>
      <w:lvlText w:val=""/>
      <w:lvlJc w:val="left"/>
      <w:pPr>
        <w:ind w:left="360" w:hanging="360"/>
      </w:pPr>
      <w:rPr>
        <w:rFonts w:ascii="Symbol" w:hAnsi="Symbol" w:hint="default"/>
        <w:color w:val="F18A21"/>
        <w:sz w:val="20"/>
        <w:szCs w:val="18"/>
        <w:u w:color="F18A26"/>
      </w:rPr>
    </w:lvl>
    <w:lvl w:ilvl="1">
      <w:start w:val="1"/>
      <w:numFmt w:val="bullet"/>
      <w:lvlText w:val="o"/>
      <w:lvlJc w:val="left"/>
      <w:pPr>
        <w:tabs>
          <w:tab w:val="num" w:pos="1440"/>
        </w:tabs>
        <w:ind w:left="1440" w:hanging="360"/>
      </w:pPr>
      <w:rPr>
        <w:rFonts w:ascii="Courier New" w:hAnsi="Courier New" w:hint="default"/>
        <w:sz w:val="20"/>
        <w:szCs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ED64DDE"/>
    <w:multiLevelType w:val="hybridMultilevel"/>
    <w:tmpl w:val="1D3A84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525252"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525252"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3B5A2E"/>
    <w:multiLevelType w:val="hybridMultilevel"/>
    <w:tmpl w:val="7BC6C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6"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385623"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7" w15:restartNumberingAfterBreak="0">
    <w:nsid w:val="76961D01"/>
    <w:multiLevelType w:val="multilevel"/>
    <w:tmpl w:val="76C6FEF2"/>
    <w:lvl w:ilvl="0">
      <w:start w:val="1"/>
      <w:numFmt w:val="bullet"/>
      <w:lvlText w:val=""/>
      <w:lvlJc w:val="left"/>
      <w:pPr>
        <w:ind w:left="720" w:hanging="360"/>
      </w:pPr>
      <w:rPr>
        <w:rFonts w:ascii="Symbol" w:hAnsi="Symbol" w:hint="default"/>
        <w:color w:val="6B6B6B"/>
        <w:sz w:val="20"/>
        <w:u w:val="none"/>
      </w:rPr>
    </w:lvl>
    <w:lvl w:ilvl="1">
      <w:start w:val="1"/>
      <w:numFmt w:val="lowerLetter"/>
      <w:lvlText w:val="%2."/>
      <w:lvlJc w:val="left"/>
      <w:pPr>
        <w:ind w:left="1800" w:firstLine="2520"/>
      </w:pPr>
      <w:rPr>
        <w:u w:val="none"/>
      </w:rPr>
    </w:lvl>
    <w:lvl w:ilvl="2">
      <w:start w:val="1"/>
      <w:numFmt w:val="lowerRoman"/>
      <w:lvlText w:val="%3."/>
      <w:lvlJc w:val="right"/>
      <w:pPr>
        <w:ind w:left="2520" w:firstLine="3960"/>
      </w:pPr>
      <w:rPr>
        <w:u w:val="none"/>
      </w:rPr>
    </w:lvl>
    <w:lvl w:ilvl="3">
      <w:start w:val="1"/>
      <w:numFmt w:val="decimal"/>
      <w:lvlText w:val="%4."/>
      <w:lvlJc w:val="left"/>
      <w:pPr>
        <w:ind w:left="3240" w:firstLine="5400"/>
      </w:pPr>
      <w:rPr>
        <w:u w:val="none"/>
      </w:rPr>
    </w:lvl>
    <w:lvl w:ilvl="4">
      <w:start w:val="1"/>
      <w:numFmt w:val="lowerLetter"/>
      <w:lvlText w:val="%5."/>
      <w:lvlJc w:val="left"/>
      <w:pPr>
        <w:ind w:left="3960" w:firstLine="6840"/>
      </w:pPr>
      <w:rPr>
        <w:u w:val="none"/>
      </w:rPr>
    </w:lvl>
    <w:lvl w:ilvl="5">
      <w:start w:val="1"/>
      <w:numFmt w:val="lowerRoman"/>
      <w:lvlText w:val="%6."/>
      <w:lvlJc w:val="right"/>
      <w:pPr>
        <w:ind w:left="4680" w:firstLine="8280"/>
      </w:pPr>
      <w:rPr>
        <w:u w:val="none"/>
      </w:rPr>
    </w:lvl>
    <w:lvl w:ilvl="6">
      <w:start w:val="1"/>
      <w:numFmt w:val="decimal"/>
      <w:lvlText w:val="%7."/>
      <w:lvlJc w:val="left"/>
      <w:pPr>
        <w:ind w:left="5400" w:firstLine="9720"/>
      </w:pPr>
      <w:rPr>
        <w:u w:val="none"/>
      </w:rPr>
    </w:lvl>
    <w:lvl w:ilvl="7">
      <w:start w:val="1"/>
      <w:numFmt w:val="lowerLetter"/>
      <w:lvlText w:val="%8."/>
      <w:lvlJc w:val="left"/>
      <w:pPr>
        <w:ind w:left="6120" w:firstLine="11160"/>
      </w:pPr>
      <w:rPr>
        <w:u w:val="none"/>
      </w:rPr>
    </w:lvl>
    <w:lvl w:ilvl="8">
      <w:start w:val="1"/>
      <w:numFmt w:val="lowerRoman"/>
      <w:lvlText w:val="%9."/>
      <w:lvlJc w:val="right"/>
      <w:pPr>
        <w:ind w:left="6840" w:firstLine="12600"/>
      </w:pPr>
      <w:rPr>
        <w:u w:val="none"/>
      </w:rPr>
    </w:lvl>
  </w:abstractNum>
  <w:abstractNum w:abstractNumId="48" w15:restartNumberingAfterBreak="0">
    <w:nsid w:val="78134A25"/>
    <w:multiLevelType w:val="hybridMultilevel"/>
    <w:tmpl w:val="1452D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CC43CF8"/>
    <w:multiLevelType w:val="hybridMultilevel"/>
    <w:tmpl w:val="2160CB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E903BD3"/>
    <w:multiLevelType w:val="hybridMultilevel"/>
    <w:tmpl w:val="D39240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F791DFA"/>
    <w:multiLevelType w:val="hybridMultilevel"/>
    <w:tmpl w:val="F7901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46"/>
  </w:num>
  <w:num w:numId="3">
    <w:abstractNumId w:val="3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43"/>
  </w:num>
  <w:num w:numId="5">
    <w:abstractNumId w:val="14"/>
  </w:num>
  <w:num w:numId="6">
    <w:abstractNumId w:val="15"/>
  </w:num>
  <w:num w:numId="7">
    <w:abstractNumId w:val="36"/>
  </w:num>
  <w:num w:numId="8">
    <w:abstractNumId w:val="47"/>
  </w:num>
  <w:num w:numId="9">
    <w:abstractNumId w:val="19"/>
  </w:num>
  <w:num w:numId="10">
    <w:abstractNumId w:val="0"/>
  </w:num>
  <w:num w:numId="11">
    <w:abstractNumId w:val="22"/>
  </w:num>
  <w:num w:numId="12">
    <w:abstractNumId w:val="17"/>
  </w:num>
  <w:num w:numId="13">
    <w:abstractNumId w:val="11"/>
  </w:num>
  <w:num w:numId="14">
    <w:abstractNumId w:val="48"/>
  </w:num>
  <w:num w:numId="15">
    <w:abstractNumId w:val="12"/>
  </w:num>
  <w:num w:numId="16">
    <w:abstractNumId w:val="8"/>
  </w:num>
  <w:num w:numId="17">
    <w:abstractNumId w:val="6"/>
  </w:num>
  <w:num w:numId="18">
    <w:abstractNumId w:val="35"/>
  </w:num>
  <w:num w:numId="19">
    <w:abstractNumId w:val="41"/>
  </w:num>
  <w:num w:numId="20">
    <w:abstractNumId w:val="5"/>
  </w:num>
  <w:num w:numId="21">
    <w:abstractNumId w:val="40"/>
  </w:num>
  <w:num w:numId="22">
    <w:abstractNumId w:val="7"/>
  </w:num>
  <w:num w:numId="23">
    <w:abstractNumId w:val="51"/>
  </w:num>
  <w:num w:numId="24">
    <w:abstractNumId w:val="21"/>
  </w:num>
  <w:num w:numId="25">
    <w:abstractNumId w:val="33"/>
  </w:num>
  <w:num w:numId="26">
    <w:abstractNumId w:val="23"/>
  </w:num>
  <w:num w:numId="27">
    <w:abstractNumId w:val="42"/>
  </w:num>
  <w:num w:numId="28">
    <w:abstractNumId w:val="31"/>
  </w:num>
  <w:num w:numId="29">
    <w:abstractNumId w:val="44"/>
  </w:num>
  <w:num w:numId="30">
    <w:abstractNumId w:val="50"/>
  </w:num>
  <w:num w:numId="31">
    <w:abstractNumId w:val="30"/>
  </w:num>
  <w:num w:numId="32">
    <w:abstractNumId w:val="20"/>
  </w:num>
  <w:num w:numId="33">
    <w:abstractNumId w:val="9"/>
  </w:num>
  <w:num w:numId="34">
    <w:abstractNumId w:val="29"/>
  </w:num>
  <w:num w:numId="35">
    <w:abstractNumId w:val="32"/>
  </w:num>
  <w:num w:numId="36">
    <w:abstractNumId w:val="16"/>
  </w:num>
  <w:num w:numId="37">
    <w:abstractNumId w:val="24"/>
  </w:num>
  <w:num w:numId="38">
    <w:abstractNumId w:val="26"/>
  </w:num>
  <w:num w:numId="39">
    <w:abstractNumId w:val="3"/>
  </w:num>
  <w:num w:numId="40">
    <w:abstractNumId w:val="13"/>
  </w:num>
  <w:num w:numId="41">
    <w:abstractNumId w:val="39"/>
  </w:num>
  <w:num w:numId="42">
    <w:abstractNumId w:val="27"/>
  </w:num>
  <w:num w:numId="43">
    <w:abstractNumId w:val="10"/>
  </w:num>
  <w:num w:numId="44">
    <w:abstractNumId w:val="49"/>
  </w:num>
  <w:num w:numId="45">
    <w:abstractNumId w:val="18"/>
  </w:num>
  <w:num w:numId="46">
    <w:abstractNumId w:val="4"/>
  </w:num>
  <w:num w:numId="47">
    <w:abstractNumId w:val="38"/>
  </w:num>
  <w:num w:numId="48">
    <w:abstractNumId w:val="34"/>
  </w:num>
  <w:num w:numId="49">
    <w:abstractNumId w:val="1"/>
  </w:num>
  <w:num w:numId="50">
    <w:abstractNumId w:val="25"/>
  </w:num>
  <w:num w:numId="51">
    <w:abstractNumId w:val="28"/>
  </w:num>
  <w:num w:numId="52">
    <w:abstractNumId w:val="2"/>
  </w:num>
  <w:num w:numId="53">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16D"/>
    <w:rsid w:val="00001176"/>
    <w:rsid w:val="00004D90"/>
    <w:rsid w:val="000062AC"/>
    <w:rsid w:val="00007749"/>
    <w:rsid w:val="00010710"/>
    <w:rsid w:val="00010AE4"/>
    <w:rsid w:val="00013397"/>
    <w:rsid w:val="00013A45"/>
    <w:rsid w:val="0002472B"/>
    <w:rsid w:val="00024DB2"/>
    <w:rsid w:val="00032F82"/>
    <w:rsid w:val="00036074"/>
    <w:rsid w:val="00043687"/>
    <w:rsid w:val="00043730"/>
    <w:rsid w:val="00043D7A"/>
    <w:rsid w:val="00055D96"/>
    <w:rsid w:val="00057530"/>
    <w:rsid w:val="0005791E"/>
    <w:rsid w:val="00057AA3"/>
    <w:rsid w:val="00061786"/>
    <w:rsid w:val="00065A5D"/>
    <w:rsid w:val="00070703"/>
    <w:rsid w:val="00072F52"/>
    <w:rsid w:val="00076E13"/>
    <w:rsid w:val="00082957"/>
    <w:rsid w:val="00090274"/>
    <w:rsid w:val="000924A2"/>
    <w:rsid w:val="0009465B"/>
    <w:rsid w:val="0009695E"/>
    <w:rsid w:val="000A049B"/>
    <w:rsid w:val="000A3F47"/>
    <w:rsid w:val="000A507B"/>
    <w:rsid w:val="000B17D6"/>
    <w:rsid w:val="000B233C"/>
    <w:rsid w:val="000B2933"/>
    <w:rsid w:val="000B4554"/>
    <w:rsid w:val="000C4C89"/>
    <w:rsid w:val="000C5EF2"/>
    <w:rsid w:val="000C6C85"/>
    <w:rsid w:val="000C79AF"/>
    <w:rsid w:val="000D1316"/>
    <w:rsid w:val="000D2A58"/>
    <w:rsid w:val="000D4BE6"/>
    <w:rsid w:val="000D7493"/>
    <w:rsid w:val="000E444F"/>
    <w:rsid w:val="000F000D"/>
    <w:rsid w:val="000F4DCB"/>
    <w:rsid w:val="001048F9"/>
    <w:rsid w:val="00112BB4"/>
    <w:rsid w:val="00112BEB"/>
    <w:rsid w:val="00114211"/>
    <w:rsid w:val="001229EC"/>
    <w:rsid w:val="00125066"/>
    <w:rsid w:val="001263C9"/>
    <w:rsid w:val="00131565"/>
    <w:rsid w:val="0013374F"/>
    <w:rsid w:val="00140C3B"/>
    <w:rsid w:val="00141F68"/>
    <w:rsid w:val="00144B81"/>
    <w:rsid w:val="0014708C"/>
    <w:rsid w:val="00154219"/>
    <w:rsid w:val="0015609D"/>
    <w:rsid w:val="0016172E"/>
    <w:rsid w:val="00175EB4"/>
    <w:rsid w:val="001813FE"/>
    <w:rsid w:val="00182252"/>
    <w:rsid w:val="00184DB8"/>
    <w:rsid w:val="0018553E"/>
    <w:rsid w:val="00193D5D"/>
    <w:rsid w:val="00194249"/>
    <w:rsid w:val="001A20D1"/>
    <w:rsid w:val="001B1861"/>
    <w:rsid w:val="001C010C"/>
    <w:rsid w:val="001C1A3B"/>
    <w:rsid w:val="001C21B1"/>
    <w:rsid w:val="001C54E7"/>
    <w:rsid w:val="001C5E23"/>
    <w:rsid w:val="001C69AD"/>
    <w:rsid w:val="001D008B"/>
    <w:rsid w:val="001D250B"/>
    <w:rsid w:val="001D58F8"/>
    <w:rsid w:val="001D6ECE"/>
    <w:rsid w:val="001E05D3"/>
    <w:rsid w:val="001E2B27"/>
    <w:rsid w:val="001F218F"/>
    <w:rsid w:val="00204880"/>
    <w:rsid w:val="00207840"/>
    <w:rsid w:val="002110BA"/>
    <w:rsid w:val="00212A53"/>
    <w:rsid w:val="00213335"/>
    <w:rsid w:val="00213B06"/>
    <w:rsid w:val="00215C01"/>
    <w:rsid w:val="00215CF9"/>
    <w:rsid w:val="00222485"/>
    <w:rsid w:val="00222F3A"/>
    <w:rsid w:val="002231B4"/>
    <w:rsid w:val="0022442A"/>
    <w:rsid w:val="00224AD6"/>
    <w:rsid w:val="002258C0"/>
    <w:rsid w:val="00226739"/>
    <w:rsid w:val="00231EC0"/>
    <w:rsid w:val="002440CE"/>
    <w:rsid w:val="002451FB"/>
    <w:rsid w:val="002472A7"/>
    <w:rsid w:val="002473CC"/>
    <w:rsid w:val="0025303F"/>
    <w:rsid w:val="00254680"/>
    <w:rsid w:val="00255EDD"/>
    <w:rsid w:val="00263027"/>
    <w:rsid w:val="00267008"/>
    <w:rsid w:val="00272DF1"/>
    <w:rsid w:val="00273035"/>
    <w:rsid w:val="002823FD"/>
    <w:rsid w:val="00297A1F"/>
    <w:rsid w:val="002A0671"/>
    <w:rsid w:val="002A265E"/>
    <w:rsid w:val="002A2A87"/>
    <w:rsid w:val="002A49D0"/>
    <w:rsid w:val="002B0753"/>
    <w:rsid w:val="002B213F"/>
    <w:rsid w:val="002B23B1"/>
    <w:rsid w:val="002B4100"/>
    <w:rsid w:val="002B6D1D"/>
    <w:rsid w:val="002C6823"/>
    <w:rsid w:val="002D2DEA"/>
    <w:rsid w:val="002D593F"/>
    <w:rsid w:val="002D6EE5"/>
    <w:rsid w:val="002D7246"/>
    <w:rsid w:val="002E0A75"/>
    <w:rsid w:val="002E6BF8"/>
    <w:rsid w:val="002F3D87"/>
    <w:rsid w:val="002F441F"/>
    <w:rsid w:val="002F4A2C"/>
    <w:rsid w:val="0030170B"/>
    <w:rsid w:val="00301C4A"/>
    <w:rsid w:val="00302133"/>
    <w:rsid w:val="00304B1D"/>
    <w:rsid w:val="00314091"/>
    <w:rsid w:val="003163F8"/>
    <w:rsid w:val="003224F3"/>
    <w:rsid w:val="00327549"/>
    <w:rsid w:val="00327AB7"/>
    <w:rsid w:val="00327C23"/>
    <w:rsid w:val="00332B16"/>
    <w:rsid w:val="00333DD5"/>
    <w:rsid w:val="0033489E"/>
    <w:rsid w:val="00340CB4"/>
    <w:rsid w:val="00347FE3"/>
    <w:rsid w:val="00350018"/>
    <w:rsid w:val="00350DBE"/>
    <w:rsid w:val="003524F6"/>
    <w:rsid w:val="00354C23"/>
    <w:rsid w:val="003577E9"/>
    <w:rsid w:val="00360193"/>
    <w:rsid w:val="00370EEC"/>
    <w:rsid w:val="00375BD8"/>
    <w:rsid w:val="0038467F"/>
    <w:rsid w:val="003871A3"/>
    <w:rsid w:val="00391C5F"/>
    <w:rsid w:val="003921C5"/>
    <w:rsid w:val="003963E7"/>
    <w:rsid w:val="003A500A"/>
    <w:rsid w:val="003A7E2F"/>
    <w:rsid w:val="003B24EC"/>
    <w:rsid w:val="003B3454"/>
    <w:rsid w:val="003B4398"/>
    <w:rsid w:val="003C003B"/>
    <w:rsid w:val="003C071D"/>
    <w:rsid w:val="003C1653"/>
    <w:rsid w:val="003D29A8"/>
    <w:rsid w:val="003D77F3"/>
    <w:rsid w:val="003E4A1D"/>
    <w:rsid w:val="003E555C"/>
    <w:rsid w:val="003E75C5"/>
    <w:rsid w:val="00400075"/>
    <w:rsid w:val="004018EF"/>
    <w:rsid w:val="00402C46"/>
    <w:rsid w:val="004058CF"/>
    <w:rsid w:val="00406D9B"/>
    <w:rsid w:val="0041096F"/>
    <w:rsid w:val="00413AF7"/>
    <w:rsid w:val="00420CAF"/>
    <w:rsid w:val="00420FE5"/>
    <w:rsid w:val="0043039C"/>
    <w:rsid w:val="00441AE2"/>
    <w:rsid w:val="00447531"/>
    <w:rsid w:val="00452320"/>
    <w:rsid w:val="00461085"/>
    <w:rsid w:val="00470DD2"/>
    <w:rsid w:val="00472B3E"/>
    <w:rsid w:val="004738C2"/>
    <w:rsid w:val="00494FED"/>
    <w:rsid w:val="004A2B98"/>
    <w:rsid w:val="004A328A"/>
    <w:rsid w:val="004A4A34"/>
    <w:rsid w:val="004A5813"/>
    <w:rsid w:val="004A7378"/>
    <w:rsid w:val="004B3476"/>
    <w:rsid w:val="004B4111"/>
    <w:rsid w:val="004B5C3A"/>
    <w:rsid w:val="004B7014"/>
    <w:rsid w:val="004C6435"/>
    <w:rsid w:val="004C6834"/>
    <w:rsid w:val="004C7764"/>
    <w:rsid w:val="004D3625"/>
    <w:rsid w:val="004E0246"/>
    <w:rsid w:val="004E06AD"/>
    <w:rsid w:val="004E4CA2"/>
    <w:rsid w:val="004F0D0D"/>
    <w:rsid w:val="004F14AB"/>
    <w:rsid w:val="004F3CC3"/>
    <w:rsid w:val="005044FB"/>
    <w:rsid w:val="00517F44"/>
    <w:rsid w:val="005200D3"/>
    <w:rsid w:val="00521EE3"/>
    <w:rsid w:val="00522FE9"/>
    <w:rsid w:val="00527072"/>
    <w:rsid w:val="0052757B"/>
    <w:rsid w:val="00530813"/>
    <w:rsid w:val="005335B3"/>
    <w:rsid w:val="00535521"/>
    <w:rsid w:val="005431B6"/>
    <w:rsid w:val="00544E03"/>
    <w:rsid w:val="00547799"/>
    <w:rsid w:val="00553EA1"/>
    <w:rsid w:val="005609CD"/>
    <w:rsid w:val="005679DF"/>
    <w:rsid w:val="00570C81"/>
    <w:rsid w:val="0057435A"/>
    <w:rsid w:val="00575A0A"/>
    <w:rsid w:val="00575EAA"/>
    <w:rsid w:val="00592293"/>
    <w:rsid w:val="00597384"/>
    <w:rsid w:val="005A1B11"/>
    <w:rsid w:val="005A244E"/>
    <w:rsid w:val="005A4BC9"/>
    <w:rsid w:val="005A5A47"/>
    <w:rsid w:val="005A615C"/>
    <w:rsid w:val="005A74E4"/>
    <w:rsid w:val="005B0A33"/>
    <w:rsid w:val="005B210D"/>
    <w:rsid w:val="005B3516"/>
    <w:rsid w:val="005B375B"/>
    <w:rsid w:val="005B3B63"/>
    <w:rsid w:val="005C0EC9"/>
    <w:rsid w:val="005C1068"/>
    <w:rsid w:val="005C3543"/>
    <w:rsid w:val="005C5B83"/>
    <w:rsid w:val="005D19BE"/>
    <w:rsid w:val="005D434E"/>
    <w:rsid w:val="005D754B"/>
    <w:rsid w:val="005E07C4"/>
    <w:rsid w:val="005E08CD"/>
    <w:rsid w:val="005E2924"/>
    <w:rsid w:val="005E39D7"/>
    <w:rsid w:val="005E431A"/>
    <w:rsid w:val="005E4921"/>
    <w:rsid w:val="005F29E3"/>
    <w:rsid w:val="005F36E5"/>
    <w:rsid w:val="005F76E0"/>
    <w:rsid w:val="00601707"/>
    <w:rsid w:val="00610B3D"/>
    <w:rsid w:val="00612027"/>
    <w:rsid w:val="0061662E"/>
    <w:rsid w:val="00616A83"/>
    <w:rsid w:val="006209AE"/>
    <w:rsid w:val="0062261C"/>
    <w:rsid w:val="00623F97"/>
    <w:rsid w:val="006247E1"/>
    <w:rsid w:val="006319D3"/>
    <w:rsid w:val="00631EDB"/>
    <w:rsid w:val="00633850"/>
    <w:rsid w:val="00641583"/>
    <w:rsid w:val="006446F2"/>
    <w:rsid w:val="006504D2"/>
    <w:rsid w:val="00654C03"/>
    <w:rsid w:val="00654D16"/>
    <w:rsid w:val="006555DD"/>
    <w:rsid w:val="00655C63"/>
    <w:rsid w:val="006570E5"/>
    <w:rsid w:val="0065793B"/>
    <w:rsid w:val="00662293"/>
    <w:rsid w:val="00662E3E"/>
    <w:rsid w:val="006657B3"/>
    <w:rsid w:val="00682668"/>
    <w:rsid w:val="00684661"/>
    <w:rsid w:val="00691BBA"/>
    <w:rsid w:val="00695EA2"/>
    <w:rsid w:val="006A59E3"/>
    <w:rsid w:val="006B4218"/>
    <w:rsid w:val="006B6D1E"/>
    <w:rsid w:val="006C1792"/>
    <w:rsid w:val="006C4601"/>
    <w:rsid w:val="006C637E"/>
    <w:rsid w:val="006C67D9"/>
    <w:rsid w:val="006C6848"/>
    <w:rsid w:val="006D1779"/>
    <w:rsid w:val="006D73AD"/>
    <w:rsid w:val="006F2F41"/>
    <w:rsid w:val="006F5EBD"/>
    <w:rsid w:val="006F6B4D"/>
    <w:rsid w:val="006F7609"/>
    <w:rsid w:val="00703CA1"/>
    <w:rsid w:val="00712FFE"/>
    <w:rsid w:val="00720EB0"/>
    <w:rsid w:val="00722812"/>
    <w:rsid w:val="0072658A"/>
    <w:rsid w:val="00730F2C"/>
    <w:rsid w:val="0073516D"/>
    <w:rsid w:val="007363AD"/>
    <w:rsid w:val="0074021A"/>
    <w:rsid w:val="00740400"/>
    <w:rsid w:val="00742A1C"/>
    <w:rsid w:val="0074394F"/>
    <w:rsid w:val="00744559"/>
    <w:rsid w:val="007460B1"/>
    <w:rsid w:val="007466BE"/>
    <w:rsid w:val="0074768A"/>
    <w:rsid w:val="00747BE4"/>
    <w:rsid w:val="007517B2"/>
    <w:rsid w:val="00754384"/>
    <w:rsid w:val="0075710F"/>
    <w:rsid w:val="00757D38"/>
    <w:rsid w:val="00760DBB"/>
    <w:rsid w:val="0076413B"/>
    <w:rsid w:val="00765741"/>
    <w:rsid w:val="00767055"/>
    <w:rsid w:val="00770A8D"/>
    <w:rsid w:val="007725FA"/>
    <w:rsid w:val="007809C0"/>
    <w:rsid w:val="007819C7"/>
    <w:rsid w:val="00783527"/>
    <w:rsid w:val="00784A52"/>
    <w:rsid w:val="007947CD"/>
    <w:rsid w:val="00794BC8"/>
    <w:rsid w:val="007A2D03"/>
    <w:rsid w:val="007A5F7D"/>
    <w:rsid w:val="007A7E3D"/>
    <w:rsid w:val="007B4A42"/>
    <w:rsid w:val="007B53AA"/>
    <w:rsid w:val="007B59A5"/>
    <w:rsid w:val="007C00C8"/>
    <w:rsid w:val="007C3B4D"/>
    <w:rsid w:val="007C4283"/>
    <w:rsid w:val="007C5AE9"/>
    <w:rsid w:val="007C65A9"/>
    <w:rsid w:val="007C7A88"/>
    <w:rsid w:val="007D108E"/>
    <w:rsid w:val="007D6121"/>
    <w:rsid w:val="007D6BAF"/>
    <w:rsid w:val="007E2053"/>
    <w:rsid w:val="007E2FAC"/>
    <w:rsid w:val="007E3189"/>
    <w:rsid w:val="007E60EA"/>
    <w:rsid w:val="007E6A13"/>
    <w:rsid w:val="007E6AD1"/>
    <w:rsid w:val="007E7A5B"/>
    <w:rsid w:val="007F293A"/>
    <w:rsid w:val="007F43FB"/>
    <w:rsid w:val="007F7FD4"/>
    <w:rsid w:val="008003D5"/>
    <w:rsid w:val="008101E3"/>
    <w:rsid w:val="00815D74"/>
    <w:rsid w:val="00820047"/>
    <w:rsid w:val="00826AE2"/>
    <w:rsid w:val="00826B1A"/>
    <w:rsid w:val="00826D68"/>
    <w:rsid w:val="00837241"/>
    <w:rsid w:val="00837B52"/>
    <w:rsid w:val="008448B9"/>
    <w:rsid w:val="008453F4"/>
    <w:rsid w:val="00852C40"/>
    <w:rsid w:val="008531C6"/>
    <w:rsid w:val="0085580A"/>
    <w:rsid w:val="00857AB2"/>
    <w:rsid w:val="0086049F"/>
    <w:rsid w:val="0086277C"/>
    <w:rsid w:val="00865E35"/>
    <w:rsid w:val="0086614A"/>
    <w:rsid w:val="00870637"/>
    <w:rsid w:val="008717A6"/>
    <w:rsid w:val="00877384"/>
    <w:rsid w:val="008828B9"/>
    <w:rsid w:val="0088419A"/>
    <w:rsid w:val="00885A52"/>
    <w:rsid w:val="00894E0D"/>
    <w:rsid w:val="00896EF7"/>
    <w:rsid w:val="008A0511"/>
    <w:rsid w:val="008A0EAC"/>
    <w:rsid w:val="008A3AF0"/>
    <w:rsid w:val="008B1739"/>
    <w:rsid w:val="008B3E65"/>
    <w:rsid w:val="008B431B"/>
    <w:rsid w:val="008B4F4E"/>
    <w:rsid w:val="008B5511"/>
    <w:rsid w:val="008C27EE"/>
    <w:rsid w:val="008C643B"/>
    <w:rsid w:val="008C6C49"/>
    <w:rsid w:val="008C725B"/>
    <w:rsid w:val="008D3517"/>
    <w:rsid w:val="008D39E2"/>
    <w:rsid w:val="008D6C55"/>
    <w:rsid w:val="008E203C"/>
    <w:rsid w:val="008E553B"/>
    <w:rsid w:val="008F2AF0"/>
    <w:rsid w:val="008F4D29"/>
    <w:rsid w:val="00900451"/>
    <w:rsid w:val="00901585"/>
    <w:rsid w:val="00902DE9"/>
    <w:rsid w:val="00903977"/>
    <w:rsid w:val="00905690"/>
    <w:rsid w:val="009070DE"/>
    <w:rsid w:val="00917EA5"/>
    <w:rsid w:val="00921869"/>
    <w:rsid w:val="0092362C"/>
    <w:rsid w:val="009248DC"/>
    <w:rsid w:val="00927F70"/>
    <w:rsid w:val="00932B46"/>
    <w:rsid w:val="00943760"/>
    <w:rsid w:val="00945B19"/>
    <w:rsid w:val="009471B9"/>
    <w:rsid w:val="009518C6"/>
    <w:rsid w:val="0095420A"/>
    <w:rsid w:val="00955A7C"/>
    <w:rsid w:val="0096130A"/>
    <w:rsid w:val="00961A1C"/>
    <w:rsid w:val="00961A5E"/>
    <w:rsid w:val="0096299E"/>
    <w:rsid w:val="00962A80"/>
    <w:rsid w:val="009707EE"/>
    <w:rsid w:val="00971E70"/>
    <w:rsid w:val="00974C2B"/>
    <w:rsid w:val="009772AA"/>
    <w:rsid w:val="00977523"/>
    <w:rsid w:val="009801EE"/>
    <w:rsid w:val="00983CC5"/>
    <w:rsid w:val="00986449"/>
    <w:rsid w:val="00986E04"/>
    <w:rsid w:val="00986FDC"/>
    <w:rsid w:val="0099072B"/>
    <w:rsid w:val="009926D7"/>
    <w:rsid w:val="00992A7C"/>
    <w:rsid w:val="00993586"/>
    <w:rsid w:val="00994F9F"/>
    <w:rsid w:val="00995DDD"/>
    <w:rsid w:val="009A1E83"/>
    <w:rsid w:val="009A3C94"/>
    <w:rsid w:val="009A5580"/>
    <w:rsid w:val="009A7987"/>
    <w:rsid w:val="009B11FB"/>
    <w:rsid w:val="009B1733"/>
    <w:rsid w:val="009B312C"/>
    <w:rsid w:val="009B3968"/>
    <w:rsid w:val="009C63A8"/>
    <w:rsid w:val="009C6A5D"/>
    <w:rsid w:val="009D256F"/>
    <w:rsid w:val="009D5296"/>
    <w:rsid w:val="009E0BE7"/>
    <w:rsid w:val="009E2860"/>
    <w:rsid w:val="009F083A"/>
    <w:rsid w:val="009F1D4F"/>
    <w:rsid w:val="009F435A"/>
    <w:rsid w:val="00A0062A"/>
    <w:rsid w:val="00A033DD"/>
    <w:rsid w:val="00A1028E"/>
    <w:rsid w:val="00A11E9F"/>
    <w:rsid w:val="00A24339"/>
    <w:rsid w:val="00A24F44"/>
    <w:rsid w:val="00A273E7"/>
    <w:rsid w:val="00A2796E"/>
    <w:rsid w:val="00A3215B"/>
    <w:rsid w:val="00A44C4E"/>
    <w:rsid w:val="00A5092D"/>
    <w:rsid w:val="00A52F8D"/>
    <w:rsid w:val="00A54F73"/>
    <w:rsid w:val="00A57200"/>
    <w:rsid w:val="00A576C2"/>
    <w:rsid w:val="00A605C9"/>
    <w:rsid w:val="00A63DC7"/>
    <w:rsid w:val="00A65803"/>
    <w:rsid w:val="00A72615"/>
    <w:rsid w:val="00A742FC"/>
    <w:rsid w:val="00A87CD2"/>
    <w:rsid w:val="00A87F91"/>
    <w:rsid w:val="00A92DF1"/>
    <w:rsid w:val="00A97B16"/>
    <w:rsid w:val="00AA1A22"/>
    <w:rsid w:val="00AA7F92"/>
    <w:rsid w:val="00AB28BF"/>
    <w:rsid w:val="00AB4E97"/>
    <w:rsid w:val="00AB65F8"/>
    <w:rsid w:val="00AC3044"/>
    <w:rsid w:val="00AD0177"/>
    <w:rsid w:val="00AD218E"/>
    <w:rsid w:val="00AD43AE"/>
    <w:rsid w:val="00AD5FFC"/>
    <w:rsid w:val="00AD642E"/>
    <w:rsid w:val="00AD706D"/>
    <w:rsid w:val="00AD7DA8"/>
    <w:rsid w:val="00AF1D9A"/>
    <w:rsid w:val="00AF4E9E"/>
    <w:rsid w:val="00AF7488"/>
    <w:rsid w:val="00B00E31"/>
    <w:rsid w:val="00B01130"/>
    <w:rsid w:val="00B0224B"/>
    <w:rsid w:val="00B05309"/>
    <w:rsid w:val="00B05817"/>
    <w:rsid w:val="00B06221"/>
    <w:rsid w:val="00B10B3A"/>
    <w:rsid w:val="00B12626"/>
    <w:rsid w:val="00B134AB"/>
    <w:rsid w:val="00B13E72"/>
    <w:rsid w:val="00B16BDF"/>
    <w:rsid w:val="00B278E8"/>
    <w:rsid w:val="00B3184B"/>
    <w:rsid w:val="00B31F33"/>
    <w:rsid w:val="00B3231E"/>
    <w:rsid w:val="00B32656"/>
    <w:rsid w:val="00B3392E"/>
    <w:rsid w:val="00B40A2D"/>
    <w:rsid w:val="00B4138D"/>
    <w:rsid w:val="00B46114"/>
    <w:rsid w:val="00B47C4B"/>
    <w:rsid w:val="00B5340F"/>
    <w:rsid w:val="00B57A8E"/>
    <w:rsid w:val="00B6062A"/>
    <w:rsid w:val="00B60EA2"/>
    <w:rsid w:val="00B6417B"/>
    <w:rsid w:val="00B64944"/>
    <w:rsid w:val="00B70B72"/>
    <w:rsid w:val="00B71270"/>
    <w:rsid w:val="00B73D71"/>
    <w:rsid w:val="00B801D1"/>
    <w:rsid w:val="00B80231"/>
    <w:rsid w:val="00B80C29"/>
    <w:rsid w:val="00B81E3C"/>
    <w:rsid w:val="00B90FD5"/>
    <w:rsid w:val="00B92AEA"/>
    <w:rsid w:val="00B96EB2"/>
    <w:rsid w:val="00BA3786"/>
    <w:rsid w:val="00BA3BE9"/>
    <w:rsid w:val="00BA5C3E"/>
    <w:rsid w:val="00BB357C"/>
    <w:rsid w:val="00BC022E"/>
    <w:rsid w:val="00BC0316"/>
    <w:rsid w:val="00BC33DA"/>
    <w:rsid w:val="00BC4D23"/>
    <w:rsid w:val="00BC5FE8"/>
    <w:rsid w:val="00BC6270"/>
    <w:rsid w:val="00BC649F"/>
    <w:rsid w:val="00BD007D"/>
    <w:rsid w:val="00BD3B71"/>
    <w:rsid w:val="00BD477C"/>
    <w:rsid w:val="00BD518B"/>
    <w:rsid w:val="00BE0661"/>
    <w:rsid w:val="00BE3C23"/>
    <w:rsid w:val="00BE3DA5"/>
    <w:rsid w:val="00BE6010"/>
    <w:rsid w:val="00BF0B85"/>
    <w:rsid w:val="00BF0DB9"/>
    <w:rsid w:val="00BF4EA9"/>
    <w:rsid w:val="00C00A92"/>
    <w:rsid w:val="00C018D8"/>
    <w:rsid w:val="00C06552"/>
    <w:rsid w:val="00C109C4"/>
    <w:rsid w:val="00C14C66"/>
    <w:rsid w:val="00C2075F"/>
    <w:rsid w:val="00C24A72"/>
    <w:rsid w:val="00C25243"/>
    <w:rsid w:val="00C27797"/>
    <w:rsid w:val="00C36250"/>
    <w:rsid w:val="00C3711D"/>
    <w:rsid w:val="00C425F4"/>
    <w:rsid w:val="00C50E52"/>
    <w:rsid w:val="00C54665"/>
    <w:rsid w:val="00C55B35"/>
    <w:rsid w:val="00C60834"/>
    <w:rsid w:val="00C60D3D"/>
    <w:rsid w:val="00C66897"/>
    <w:rsid w:val="00C7136A"/>
    <w:rsid w:val="00C83CFE"/>
    <w:rsid w:val="00C95F52"/>
    <w:rsid w:val="00CA0DBA"/>
    <w:rsid w:val="00CA668F"/>
    <w:rsid w:val="00CA69E2"/>
    <w:rsid w:val="00CA72B5"/>
    <w:rsid w:val="00CB5B46"/>
    <w:rsid w:val="00CB6913"/>
    <w:rsid w:val="00CC304D"/>
    <w:rsid w:val="00CC3FAE"/>
    <w:rsid w:val="00CF12CB"/>
    <w:rsid w:val="00CF2B6A"/>
    <w:rsid w:val="00CF38E8"/>
    <w:rsid w:val="00CF63B6"/>
    <w:rsid w:val="00D006C7"/>
    <w:rsid w:val="00D039BD"/>
    <w:rsid w:val="00D07FBA"/>
    <w:rsid w:val="00D11964"/>
    <w:rsid w:val="00D14D09"/>
    <w:rsid w:val="00D15419"/>
    <w:rsid w:val="00D2101D"/>
    <w:rsid w:val="00D21BCE"/>
    <w:rsid w:val="00D27A00"/>
    <w:rsid w:val="00D27DD5"/>
    <w:rsid w:val="00D343E2"/>
    <w:rsid w:val="00D36915"/>
    <w:rsid w:val="00D36BDA"/>
    <w:rsid w:val="00D372A5"/>
    <w:rsid w:val="00D37680"/>
    <w:rsid w:val="00D4008F"/>
    <w:rsid w:val="00D50F3D"/>
    <w:rsid w:val="00D51D72"/>
    <w:rsid w:val="00D52C43"/>
    <w:rsid w:val="00D53005"/>
    <w:rsid w:val="00D5351D"/>
    <w:rsid w:val="00D53879"/>
    <w:rsid w:val="00D5692F"/>
    <w:rsid w:val="00D56A37"/>
    <w:rsid w:val="00D602D6"/>
    <w:rsid w:val="00D6402F"/>
    <w:rsid w:val="00D64125"/>
    <w:rsid w:val="00D66137"/>
    <w:rsid w:val="00D80BA4"/>
    <w:rsid w:val="00DA225D"/>
    <w:rsid w:val="00DA7822"/>
    <w:rsid w:val="00DB0C74"/>
    <w:rsid w:val="00DB5FAF"/>
    <w:rsid w:val="00DC1480"/>
    <w:rsid w:val="00DC4C84"/>
    <w:rsid w:val="00DD3BC5"/>
    <w:rsid w:val="00DD51F1"/>
    <w:rsid w:val="00DD52BE"/>
    <w:rsid w:val="00DD567C"/>
    <w:rsid w:val="00DD6B18"/>
    <w:rsid w:val="00DD7B5D"/>
    <w:rsid w:val="00DE538D"/>
    <w:rsid w:val="00DE5794"/>
    <w:rsid w:val="00DE5DDD"/>
    <w:rsid w:val="00DE6B25"/>
    <w:rsid w:val="00DF0473"/>
    <w:rsid w:val="00DF5D43"/>
    <w:rsid w:val="00E00D76"/>
    <w:rsid w:val="00E030F2"/>
    <w:rsid w:val="00E05289"/>
    <w:rsid w:val="00E10DCA"/>
    <w:rsid w:val="00E11EEC"/>
    <w:rsid w:val="00E15599"/>
    <w:rsid w:val="00E20381"/>
    <w:rsid w:val="00E21AAF"/>
    <w:rsid w:val="00E25587"/>
    <w:rsid w:val="00E261EA"/>
    <w:rsid w:val="00E3049F"/>
    <w:rsid w:val="00E33D0D"/>
    <w:rsid w:val="00E34407"/>
    <w:rsid w:val="00E41816"/>
    <w:rsid w:val="00E461FC"/>
    <w:rsid w:val="00E51366"/>
    <w:rsid w:val="00E5209D"/>
    <w:rsid w:val="00E52B04"/>
    <w:rsid w:val="00E567DD"/>
    <w:rsid w:val="00E64290"/>
    <w:rsid w:val="00E6511B"/>
    <w:rsid w:val="00E662F0"/>
    <w:rsid w:val="00E71F04"/>
    <w:rsid w:val="00E73381"/>
    <w:rsid w:val="00E76807"/>
    <w:rsid w:val="00E81D80"/>
    <w:rsid w:val="00E82194"/>
    <w:rsid w:val="00E856BF"/>
    <w:rsid w:val="00E91E73"/>
    <w:rsid w:val="00E948CD"/>
    <w:rsid w:val="00EA35CD"/>
    <w:rsid w:val="00EA3884"/>
    <w:rsid w:val="00EB017E"/>
    <w:rsid w:val="00EB5284"/>
    <w:rsid w:val="00EC21C7"/>
    <w:rsid w:val="00EC3C89"/>
    <w:rsid w:val="00EC3E87"/>
    <w:rsid w:val="00ED0D60"/>
    <w:rsid w:val="00ED2E17"/>
    <w:rsid w:val="00ED3E53"/>
    <w:rsid w:val="00EE3BDD"/>
    <w:rsid w:val="00EE645F"/>
    <w:rsid w:val="00EF1D04"/>
    <w:rsid w:val="00EF553B"/>
    <w:rsid w:val="00EF6082"/>
    <w:rsid w:val="00F005A7"/>
    <w:rsid w:val="00F0280D"/>
    <w:rsid w:val="00F04FC3"/>
    <w:rsid w:val="00F059AB"/>
    <w:rsid w:val="00F07D3B"/>
    <w:rsid w:val="00F100A5"/>
    <w:rsid w:val="00F2028C"/>
    <w:rsid w:val="00F20BE4"/>
    <w:rsid w:val="00F2123C"/>
    <w:rsid w:val="00F236D3"/>
    <w:rsid w:val="00F2535C"/>
    <w:rsid w:val="00F31B7B"/>
    <w:rsid w:val="00F346FC"/>
    <w:rsid w:val="00F347F3"/>
    <w:rsid w:val="00F40E41"/>
    <w:rsid w:val="00F423E7"/>
    <w:rsid w:val="00F433C0"/>
    <w:rsid w:val="00F44399"/>
    <w:rsid w:val="00F4642B"/>
    <w:rsid w:val="00F4716F"/>
    <w:rsid w:val="00F55B88"/>
    <w:rsid w:val="00F56B2A"/>
    <w:rsid w:val="00F66B67"/>
    <w:rsid w:val="00F717B7"/>
    <w:rsid w:val="00F71B51"/>
    <w:rsid w:val="00F73F98"/>
    <w:rsid w:val="00F7456F"/>
    <w:rsid w:val="00F769BF"/>
    <w:rsid w:val="00F847FE"/>
    <w:rsid w:val="00F8603B"/>
    <w:rsid w:val="00F91EDB"/>
    <w:rsid w:val="00F922D7"/>
    <w:rsid w:val="00F93A2D"/>
    <w:rsid w:val="00F9415D"/>
    <w:rsid w:val="00F948E8"/>
    <w:rsid w:val="00F9747E"/>
    <w:rsid w:val="00F97993"/>
    <w:rsid w:val="00FA013B"/>
    <w:rsid w:val="00FA2BAF"/>
    <w:rsid w:val="00FA4C03"/>
    <w:rsid w:val="00FA5C0F"/>
    <w:rsid w:val="00FB2E8B"/>
    <w:rsid w:val="00FB62EF"/>
    <w:rsid w:val="00FC0127"/>
    <w:rsid w:val="00FC1122"/>
    <w:rsid w:val="00FC3435"/>
    <w:rsid w:val="00FC3756"/>
    <w:rsid w:val="00FD0094"/>
    <w:rsid w:val="00FD0FDE"/>
    <w:rsid w:val="00FD2C9E"/>
    <w:rsid w:val="00FD45B3"/>
    <w:rsid w:val="00FD4D6D"/>
    <w:rsid w:val="00FD60FD"/>
    <w:rsid w:val="00FE47A5"/>
    <w:rsid w:val="00FF1625"/>
    <w:rsid w:val="00FF39EC"/>
    <w:rsid w:val="00FF4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73DE83"/>
  <w15:chartTrackingRefBased/>
  <w15:docId w15:val="{4FF0E0FE-5F6F-4D46-ACE2-EC3935B98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E13"/>
    <w:pPr>
      <w:spacing w:before="120" w:after="120" w:line="220" w:lineRule="atLeast"/>
    </w:pPr>
    <w:rPr>
      <w:rFonts w:ascii="Calibri Light" w:eastAsiaTheme="minorEastAsia" w:hAnsi="Calibri Light"/>
      <w:szCs w:val="24"/>
    </w:rPr>
  </w:style>
  <w:style w:type="paragraph" w:styleId="Heading1">
    <w:name w:val="heading 1"/>
    <w:aliases w:val="H1"/>
    <w:next w:val="Normal"/>
    <w:link w:val="Heading1Char"/>
    <w:uiPriority w:val="9"/>
    <w:qFormat/>
    <w:rsid w:val="00375BD8"/>
    <w:pPr>
      <w:keepNext/>
      <w:keepLines/>
      <w:pageBreakBefore/>
      <w:numPr>
        <w:numId w:val="3"/>
      </w:numPr>
      <w:spacing w:before="240" w:after="320" w:line="240" w:lineRule="auto"/>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375BD8"/>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375BD8"/>
    <w:pPr>
      <w:keepNext/>
      <w:keepLines/>
      <w:spacing w:before="120" w:after="120" w:line="240" w:lineRule="auto"/>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375BD8"/>
    <w:pPr>
      <w:keepNext/>
      <w:keepLines/>
      <w:spacing w:before="280" w:line="240" w:lineRule="auto"/>
      <w:outlineLvl w:val="3"/>
    </w:pPr>
    <w:rPr>
      <w:rFonts w:ascii="Proxima Nova Light" w:eastAsiaTheme="majorEastAsia" w:hAnsi="Proxima Nova Light" w:cstheme="majorBidi"/>
      <w:bCs/>
      <w:color w:val="A5A5A5" w:themeColor="accent3"/>
      <w:sz w:val="26"/>
    </w:rPr>
  </w:style>
  <w:style w:type="paragraph" w:styleId="Heading5">
    <w:name w:val="heading 5"/>
    <w:aliases w:val="H5"/>
    <w:basedOn w:val="Normal"/>
    <w:next w:val="Normal"/>
    <w:link w:val="Heading5Char"/>
    <w:uiPriority w:val="9"/>
    <w:unhideWhenUsed/>
    <w:qFormat/>
    <w:rsid w:val="00375BD8"/>
    <w:pPr>
      <w:keepNext/>
      <w:keepLines/>
      <w:spacing w:before="200"/>
      <w:outlineLvl w:val="4"/>
    </w:pPr>
    <w:rPr>
      <w:rFonts w:ascii="Proxima Nova Light" w:eastAsiaTheme="majorEastAsia" w:hAnsi="Proxima Nova Light" w:cstheme="majorBidi"/>
      <w:color w:val="7F7F7F" w:themeColor="text1" w:themeTint="80"/>
    </w:rPr>
  </w:style>
  <w:style w:type="paragraph" w:styleId="Heading6">
    <w:name w:val="heading 6"/>
    <w:aliases w:val="Appendix Header 1"/>
    <w:next w:val="Normal"/>
    <w:link w:val="Heading6Char"/>
    <w:uiPriority w:val="9"/>
    <w:unhideWhenUsed/>
    <w:rsid w:val="00375BD8"/>
    <w:pPr>
      <w:keepNext/>
      <w:numPr>
        <w:ilvl w:val="5"/>
        <w:numId w:val="2"/>
      </w:numPr>
      <w:spacing w:before="360" w:after="240" w:line="240" w:lineRule="auto"/>
      <w:outlineLvl w:val="5"/>
    </w:pPr>
    <w:rPr>
      <w:rFonts w:ascii="Proxima Nova Light" w:eastAsiaTheme="minorEastAsia" w:hAnsi="Proxima Nova Light"/>
      <w:caps/>
      <w:color w:val="4472C4" w:themeColor="accent1"/>
      <w:sz w:val="44"/>
      <w:szCs w:val="40"/>
    </w:rPr>
  </w:style>
  <w:style w:type="paragraph" w:styleId="Heading7">
    <w:name w:val="heading 7"/>
    <w:aliases w:val="Appendix Header 7"/>
    <w:next w:val="Normal"/>
    <w:link w:val="Heading7Char"/>
    <w:uiPriority w:val="9"/>
    <w:unhideWhenUsed/>
    <w:rsid w:val="00375BD8"/>
    <w:pPr>
      <w:keepNext/>
      <w:numPr>
        <w:ilvl w:val="6"/>
        <w:numId w:val="2"/>
      </w:numPr>
      <w:spacing w:before="360" w:after="200" w:line="240" w:lineRule="auto"/>
      <w:outlineLvl w:val="6"/>
    </w:pPr>
    <w:rPr>
      <w:rFonts w:ascii="Proxima Nova Light" w:eastAsiaTheme="minorEastAsia" w:hAnsi="Proxima Nova Light"/>
      <w:color w:val="4472C4" w:themeColor="accent1"/>
      <w:sz w:val="32"/>
      <w:szCs w:val="24"/>
    </w:rPr>
  </w:style>
  <w:style w:type="paragraph" w:styleId="Heading8">
    <w:name w:val="heading 8"/>
    <w:aliases w:val="Appendix 8"/>
    <w:next w:val="Normal"/>
    <w:link w:val="Heading8Char"/>
    <w:uiPriority w:val="9"/>
    <w:unhideWhenUsed/>
    <w:rsid w:val="00375BD8"/>
    <w:pPr>
      <w:spacing w:before="360" w:after="180" w:line="240" w:lineRule="auto"/>
      <w:outlineLvl w:val="7"/>
    </w:pPr>
    <w:rPr>
      <w:rFonts w:ascii="Proxima Nova Light" w:eastAsiaTheme="minorEastAsia" w:hAnsi="Proxima Nova Light"/>
      <w:color w:val="4472C4" w:themeColor="accent1"/>
      <w:sz w:val="28"/>
      <w:szCs w:val="24"/>
    </w:rPr>
  </w:style>
  <w:style w:type="paragraph" w:styleId="Heading9">
    <w:name w:val="heading 9"/>
    <w:basedOn w:val="Normal"/>
    <w:next w:val="Normal"/>
    <w:link w:val="Heading9Char"/>
    <w:uiPriority w:val="9"/>
    <w:semiHidden/>
    <w:unhideWhenUsed/>
    <w:rsid w:val="00375BD8"/>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375BD8"/>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375BD8"/>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375BD8"/>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375BD8"/>
    <w:rPr>
      <w:rFonts w:ascii="Proxima Nova Light" w:eastAsiaTheme="majorEastAsia" w:hAnsi="Proxima Nova Light" w:cstheme="majorBidi"/>
      <w:bCs/>
      <w:color w:val="A5A5A5" w:themeColor="accent3"/>
      <w:sz w:val="26"/>
    </w:rPr>
  </w:style>
  <w:style w:type="character" w:customStyle="1" w:styleId="Heading5Char">
    <w:name w:val="Heading 5 Char"/>
    <w:aliases w:val="H5 Char"/>
    <w:basedOn w:val="DefaultParagraphFont"/>
    <w:link w:val="Heading5"/>
    <w:uiPriority w:val="9"/>
    <w:rsid w:val="00375BD8"/>
    <w:rPr>
      <w:rFonts w:ascii="Proxima Nova Light" w:eastAsiaTheme="majorEastAsia" w:hAnsi="Proxima Nova Light" w:cstheme="majorBidi"/>
      <w:color w:val="7F7F7F" w:themeColor="text1" w:themeTint="80"/>
      <w:szCs w:val="24"/>
    </w:rPr>
  </w:style>
  <w:style w:type="character" w:customStyle="1" w:styleId="Heading6Char">
    <w:name w:val="Heading 6 Char"/>
    <w:aliases w:val="Appendix Header 1 Char"/>
    <w:basedOn w:val="DefaultParagraphFont"/>
    <w:link w:val="Heading6"/>
    <w:uiPriority w:val="9"/>
    <w:rsid w:val="00375BD8"/>
    <w:rPr>
      <w:rFonts w:ascii="Proxima Nova Light" w:eastAsiaTheme="minorEastAsia" w:hAnsi="Proxima Nova Light"/>
      <w:caps/>
      <w:color w:val="4472C4" w:themeColor="accent1"/>
      <w:sz w:val="44"/>
      <w:szCs w:val="40"/>
    </w:rPr>
  </w:style>
  <w:style w:type="character" w:customStyle="1" w:styleId="Heading7Char">
    <w:name w:val="Heading 7 Char"/>
    <w:aliases w:val="Appendix Header 7 Char"/>
    <w:basedOn w:val="DefaultParagraphFont"/>
    <w:link w:val="Heading7"/>
    <w:uiPriority w:val="9"/>
    <w:rsid w:val="00375BD8"/>
    <w:rPr>
      <w:rFonts w:ascii="Proxima Nova Light" w:eastAsiaTheme="minorEastAsia" w:hAnsi="Proxima Nova Light"/>
      <w:color w:val="4472C4" w:themeColor="accent1"/>
      <w:sz w:val="32"/>
      <w:szCs w:val="24"/>
    </w:rPr>
  </w:style>
  <w:style w:type="character" w:customStyle="1" w:styleId="Heading8Char">
    <w:name w:val="Heading 8 Char"/>
    <w:aliases w:val="Appendix 8 Char"/>
    <w:basedOn w:val="DefaultParagraphFont"/>
    <w:link w:val="Heading8"/>
    <w:uiPriority w:val="9"/>
    <w:rsid w:val="00375BD8"/>
    <w:rPr>
      <w:rFonts w:ascii="Proxima Nova Light" w:eastAsiaTheme="minorEastAsia" w:hAnsi="Proxima Nova Light"/>
      <w:color w:val="4472C4" w:themeColor="accent1"/>
      <w:sz w:val="28"/>
      <w:szCs w:val="24"/>
    </w:rPr>
  </w:style>
  <w:style w:type="character" w:customStyle="1" w:styleId="Heading9Char">
    <w:name w:val="Heading 9 Char"/>
    <w:basedOn w:val="DefaultParagraphFont"/>
    <w:link w:val="Heading9"/>
    <w:uiPriority w:val="9"/>
    <w:semiHidden/>
    <w:rsid w:val="00375BD8"/>
    <w:rPr>
      <w:rFonts w:asciiTheme="majorHAnsi" w:eastAsiaTheme="majorEastAsia" w:hAnsiTheme="majorHAnsi" w:cstheme="majorBidi"/>
      <w:i/>
      <w:iCs/>
      <w:color w:val="404040" w:themeColor="text1" w:themeTint="BF"/>
      <w:sz w:val="20"/>
      <w:szCs w:val="20"/>
    </w:rPr>
  </w:style>
  <w:style w:type="paragraph" w:styleId="TOCHeading">
    <w:name w:val="TOC Heading"/>
    <w:aliases w:val="TOC/ES Heading"/>
    <w:next w:val="Normal"/>
    <w:uiPriority w:val="39"/>
    <w:unhideWhenUsed/>
    <w:rsid w:val="00375BD8"/>
    <w:pPr>
      <w:spacing w:before="240" w:after="340" w:line="240" w:lineRule="auto"/>
      <w:jc w:val="center"/>
    </w:pPr>
    <w:rPr>
      <w:rFonts w:ascii="Proxima Nova Light" w:eastAsiaTheme="majorEastAsia" w:hAnsi="Proxima Nova Light" w:cstheme="majorBidi"/>
      <w:color w:val="567FC9" w:themeColor="accent1" w:themeTint="E6"/>
      <w:sz w:val="48"/>
      <w:szCs w:val="48"/>
    </w:rPr>
  </w:style>
  <w:style w:type="paragraph" w:styleId="TOC1">
    <w:name w:val="toc 1"/>
    <w:next w:val="Normal"/>
    <w:autoRedefine/>
    <w:uiPriority w:val="39"/>
    <w:unhideWhenUsed/>
    <w:rsid w:val="00375BD8"/>
    <w:pPr>
      <w:tabs>
        <w:tab w:val="left" w:pos="395"/>
        <w:tab w:val="left" w:pos="426"/>
        <w:tab w:val="right" w:leader="dot" w:pos="9346"/>
      </w:tabs>
      <w:spacing w:before="120" w:after="0" w:line="240" w:lineRule="auto"/>
    </w:pPr>
    <w:rPr>
      <w:rFonts w:ascii="Calibri Light" w:eastAsiaTheme="minorEastAsia" w:hAnsi="Calibri Light"/>
      <w:b/>
      <w:sz w:val="24"/>
    </w:rPr>
  </w:style>
  <w:style w:type="paragraph" w:styleId="TOC2">
    <w:name w:val="toc 2"/>
    <w:basedOn w:val="Normal"/>
    <w:next w:val="Normal"/>
    <w:autoRedefine/>
    <w:uiPriority w:val="39"/>
    <w:unhideWhenUsed/>
    <w:rsid w:val="00375BD8"/>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375BD8"/>
    <w:pPr>
      <w:tabs>
        <w:tab w:val="right" w:leader="dot" w:pos="9346"/>
      </w:tabs>
      <w:spacing w:before="20"/>
      <w:ind w:left="360" w:right="360"/>
      <w:contextualSpacing/>
    </w:pPr>
  </w:style>
  <w:style w:type="paragraph" w:styleId="TOC4">
    <w:name w:val="toc 4"/>
    <w:basedOn w:val="Normal"/>
    <w:next w:val="Normal"/>
    <w:autoRedefine/>
    <w:uiPriority w:val="39"/>
    <w:unhideWhenUsed/>
    <w:rsid w:val="00375BD8"/>
    <w:pPr>
      <w:tabs>
        <w:tab w:val="right" w:leader="dot" w:pos="9346"/>
      </w:tabs>
      <w:ind w:left="1296"/>
    </w:pPr>
    <w:rPr>
      <w:i/>
      <w:sz w:val="20"/>
    </w:rPr>
  </w:style>
  <w:style w:type="paragraph" w:styleId="TOC5">
    <w:name w:val="toc 5"/>
    <w:basedOn w:val="Normal"/>
    <w:next w:val="Normal"/>
    <w:autoRedefine/>
    <w:uiPriority w:val="39"/>
    <w:unhideWhenUsed/>
    <w:rsid w:val="00375BD8"/>
    <w:pPr>
      <w:ind w:left="880"/>
    </w:pPr>
    <w:rPr>
      <w:rFonts w:asciiTheme="majorHAnsi" w:hAnsiTheme="majorHAnsi"/>
      <w:sz w:val="20"/>
    </w:rPr>
  </w:style>
  <w:style w:type="paragraph" w:styleId="TOC6">
    <w:name w:val="toc 6"/>
    <w:basedOn w:val="Normal"/>
    <w:next w:val="Normal"/>
    <w:autoRedefine/>
    <w:uiPriority w:val="39"/>
    <w:unhideWhenUsed/>
    <w:rsid w:val="00375BD8"/>
    <w:pPr>
      <w:ind w:left="1100"/>
    </w:pPr>
    <w:rPr>
      <w:rFonts w:asciiTheme="majorHAnsi" w:hAnsiTheme="majorHAnsi"/>
      <w:sz w:val="20"/>
    </w:rPr>
  </w:style>
  <w:style w:type="paragraph" w:styleId="TOC7">
    <w:name w:val="toc 7"/>
    <w:basedOn w:val="Normal"/>
    <w:next w:val="Normal"/>
    <w:autoRedefine/>
    <w:uiPriority w:val="39"/>
    <w:unhideWhenUsed/>
    <w:rsid w:val="00375BD8"/>
    <w:pPr>
      <w:ind w:left="1320"/>
    </w:pPr>
    <w:rPr>
      <w:rFonts w:asciiTheme="majorHAnsi" w:hAnsiTheme="majorHAnsi"/>
      <w:sz w:val="20"/>
    </w:rPr>
  </w:style>
  <w:style w:type="paragraph" w:styleId="TOC8">
    <w:name w:val="toc 8"/>
    <w:basedOn w:val="Normal"/>
    <w:next w:val="Normal"/>
    <w:autoRedefine/>
    <w:uiPriority w:val="39"/>
    <w:unhideWhenUsed/>
    <w:rsid w:val="00375BD8"/>
    <w:pPr>
      <w:ind w:left="1540"/>
    </w:pPr>
    <w:rPr>
      <w:rFonts w:asciiTheme="majorHAnsi" w:hAnsiTheme="majorHAnsi"/>
      <w:sz w:val="20"/>
    </w:rPr>
  </w:style>
  <w:style w:type="paragraph" w:styleId="TOC9">
    <w:name w:val="toc 9"/>
    <w:basedOn w:val="Normal"/>
    <w:next w:val="Normal"/>
    <w:autoRedefine/>
    <w:uiPriority w:val="39"/>
    <w:unhideWhenUsed/>
    <w:rsid w:val="00375BD8"/>
    <w:pPr>
      <w:ind w:left="1760"/>
    </w:pPr>
    <w:rPr>
      <w:rFonts w:asciiTheme="majorHAnsi" w:hAnsiTheme="majorHAnsi"/>
      <w:sz w:val="20"/>
    </w:rPr>
  </w:style>
  <w:style w:type="paragraph" w:customStyle="1" w:styleId="TableListHeader">
    <w:name w:val="Table List Header"/>
    <w:next w:val="Normal"/>
    <w:rsid w:val="00375BD8"/>
    <w:pPr>
      <w:spacing w:after="280" w:line="240" w:lineRule="auto"/>
      <w:jc w:val="center"/>
    </w:pPr>
    <w:rPr>
      <w:rFonts w:ascii="Proxima Nova Light" w:eastAsiaTheme="minorEastAsia" w:hAnsi="Proxima Nova Light"/>
      <w:caps/>
      <w:color w:val="7F7F7F" w:themeColor="text1" w:themeTint="80"/>
      <w:sz w:val="24"/>
      <w:szCs w:val="28"/>
    </w:rPr>
  </w:style>
  <w:style w:type="paragraph" w:styleId="ListParagraph">
    <w:name w:val="List Paragraph"/>
    <w:basedOn w:val="Normal"/>
    <w:uiPriority w:val="34"/>
    <w:qFormat/>
    <w:rsid w:val="00375BD8"/>
    <w:pPr>
      <w:ind w:left="720"/>
      <w:contextualSpacing/>
    </w:pPr>
  </w:style>
  <w:style w:type="paragraph" w:styleId="Caption">
    <w:name w:val="caption"/>
    <w:aliases w:val="eTRM Caption"/>
    <w:basedOn w:val="Normal"/>
    <w:next w:val="Normal"/>
    <w:link w:val="CaptionChar"/>
    <w:autoRedefine/>
    <w:unhideWhenUsed/>
    <w:qFormat/>
    <w:rsid w:val="00E20381"/>
    <w:pPr>
      <w:keepNext/>
      <w:keepLines/>
      <w:spacing w:before="280" w:after="80"/>
    </w:pPr>
    <w:rPr>
      <w:rFonts w:cstheme="minorHAnsi"/>
      <w:b/>
      <w:color w:val="00000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E20381"/>
    <w:rPr>
      <w:rFonts w:ascii="Calibri Light" w:eastAsiaTheme="minorEastAsia" w:hAnsi="Calibri Light" w:cstheme="minorHAnsi"/>
      <w:b/>
      <w:color w:val="000000"/>
      <w14:textFill>
        <w14:solidFill>
          <w14:srgbClr w14:val="000000">
            <w14:lumMod w14:val="50000"/>
          </w14:srgbClr>
        </w14:solidFill>
      </w14:textFill>
    </w:rPr>
  </w:style>
  <w:style w:type="paragraph" w:styleId="FootnoteText">
    <w:name w:val="footnote text"/>
    <w:aliases w:val="EMI Footnote Text"/>
    <w:basedOn w:val="Normal"/>
    <w:link w:val="FootnoteTextChar"/>
    <w:unhideWhenUsed/>
    <w:qFormat/>
    <w:rsid w:val="00375BD8"/>
    <w:rPr>
      <w:sz w:val="18"/>
    </w:rPr>
  </w:style>
  <w:style w:type="character" w:customStyle="1" w:styleId="FootnoteTextChar">
    <w:name w:val="Footnote Text Char"/>
    <w:aliases w:val="EMI Footnote Text Char"/>
    <w:basedOn w:val="DefaultParagraphFont"/>
    <w:link w:val="FootnoteText"/>
    <w:rsid w:val="00375BD8"/>
    <w:rPr>
      <w:rFonts w:ascii="Calibri Light" w:eastAsiaTheme="minorEastAsia" w:hAnsi="Calibri Light"/>
      <w:sz w:val="18"/>
      <w:szCs w:val="24"/>
    </w:rPr>
  </w:style>
  <w:style w:type="character" w:styleId="FootnoteReference">
    <w:name w:val="footnote reference"/>
    <w:basedOn w:val="DefaultParagraphFont"/>
    <w:unhideWhenUsed/>
    <w:rsid w:val="00375BD8"/>
    <w:rPr>
      <w:vertAlign w:val="superscript"/>
    </w:rPr>
  </w:style>
  <w:style w:type="paragraph" w:styleId="TableofFigures">
    <w:name w:val="table of figures"/>
    <w:basedOn w:val="Normal"/>
    <w:next w:val="Normal"/>
    <w:uiPriority w:val="99"/>
    <w:unhideWhenUsed/>
    <w:rsid w:val="00375BD8"/>
  </w:style>
  <w:style w:type="paragraph" w:styleId="Header">
    <w:name w:val="header"/>
    <w:aliases w:val="eTRM Header Text"/>
    <w:basedOn w:val="Normal"/>
    <w:link w:val="HeaderChar"/>
    <w:uiPriority w:val="99"/>
    <w:unhideWhenUsed/>
    <w:rsid w:val="00375BD8"/>
    <w:pPr>
      <w:tabs>
        <w:tab w:val="center" w:pos="4320"/>
        <w:tab w:val="right" w:pos="8640"/>
      </w:tabs>
      <w:jc w:val="center"/>
    </w:pPr>
    <w:rPr>
      <w:rFonts w:ascii="Avenir Next" w:hAnsi="Avenir Next"/>
      <w:color w:val="7B7B7B" w:themeColor="accent3" w:themeShade="BF"/>
      <w:sz w:val="16"/>
    </w:rPr>
  </w:style>
  <w:style w:type="character" w:customStyle="1" w:styleId="HeaderChar">
    <w:name w:val="Header Char"/>
    <w:aliases w:val="eTRM Header Text Char"/>
    <w:basedOn w:val="DefaultParagraphFont"/>
    <w:link w:val="Header"/>
    <w:uiPriority w:val="99"/>
    <w:rsid w:val="00375BD8"/>
    <w:rPr>
      <w:rFonts w:ascii="Avenir Next" w:eastAsiaTheme="minorEastAsia" w:hAnsi="Avenir Next"/>
      <w:color w:val="7B7B7B" w:themeColor="accent3" w:themeShade="BF"/>
      <w:sz w:val="16"/>
      <w:szCs w:val="24"/>
    </w:rPr>
  </w:style>
  <w:style w:type="paragraph" w:styleId="Footer">
    <w:name w:val="footer"/>
    <w:basedOn w:val="Normal"/>
    <w:link w:val="FooterChar"/>
    <w:uiPriority w:val="99"/>
    <w:unhideWhenUsed/>
    <w:rsid w:val="00375BD8"/>
    <w:pPr>
      <w:pBdr>
        <w:top w:val="single" w:sz="6" w:space="6" w:color="E7E6E6" w:themeColor="background2"/>
      </w:pBdr>
    </w:pPr>
  </w:style>
  <w:style w:type="character" w:customStyle="1" w:styleId="FooterChar">
    <w:name w:val="Footer Char"/>
    <w:basedOn w:val="DefaultParagraphFont"/>
    <w:link w:val="Footer"/>
    <w:uiPriority w:val="99"/>
    <w:rsid w:val="00375BD8"/>
    <w:rPr>
      <w:rFonts w:ascii="Calibri Light" w:eastAsiaTheme="minorEastAsia" w:hAnsi="Calibri Light"/>
      <w:szCs w:val="24"/>
    </w:rPr>
  </w:style>
  <w:style w:type="character" w:styleId="PageNumber">
    <w:name w:val="page number"/>
    <w:basedOn w:val="DefaultParagraphFont"/>
    <w:uiPriority w:val="99"/>
    <w:unhideWhenUsed/>
    <w:rsid w:val="00375BD8"/>
    <w:rPr>
      <w:rFonts w:ascii="Calibri" w:hAnsi="Calibri"/>
      <w:b w:val="0"/>
      <w:i w:val="0"/>
      <w:color w:val="A5A5A5" w:themeColor="accent3"/>
      <w:sz w:val="16"/>
      <w:bdr w:val="none" w:sz="0" w:space="0" w:color="auto"/>
    </w:rPr>
  </w:style>
  <w:style w:type="table" w:styleId="TableGrid">
    <w:name w:val="Table Grid"/>
    <w:basedOn w:val="TableNormal"/>
    <w:uiPriority w:val="39"/>
    <w:rsid w:val="00375BD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375BD8"/>
    <w:pPr>
      <w:numPr>
        <w:numId w:val="5"/>
      </w:numPr>
      <w:contextualSpacing w:val="0"/>
    </w:pPr>
  </w:style>
  <w:style w:type="paragraph" w:customStyle="1" w:styleId="TableFootnote">
    <w:name w:val="Table Footnote"/>
    <w:basedOn w:val="Normal"/>
    <w:next w:val="Normal"/>
    <w:qFormat/>
    <w:rsid w:val="00375BD8"/>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375BD8"/>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375BD8"/>
    <w:pPr>
      <w:jc w:val="center"/>
    </w:pPr>
    <w:rPr>
      <w:b/>
      <w:sz w:val="18"/>
    </w:rPr>
  </w:style>
  <w:style w:type="paragraph" w:customStyle="1" w:styleId="eTRMTextBoxText">
    <w:name w:val="eTRM Text Box Text"/>
    <w:basedOn w:val="Normal"/>
    <w:autoRedefine/>
    <w:qFormat/>
    <w:rsid w:val="00375BD8"/>
    <w:pPr>
      <w:spacing w:line="180" w:lineRule="exact"/>
    </w:pPr>
    <w:rPr>
      <w:sz w:val="18"/>
    </w:rPr>
  </w:style>
  <w:style w:type="paragraph" w:customStyle="1" w:styleId="FigureCaption">
    <w:name w:val="Figure Caption"/>
    <w:basedOn w:val="Caption"/>
    <w:link w:val="FigureCaptionChar"/>
    <w:autoRedefine/>
    <w:qFormat/>
    <w:rsid w:val="00375BD8"/>
  </w:style>
  <w:style w:type="character" w:customStyle="1" w:styleId="FigureCaptionChar">
    <w:name w:val="Figure Caption Char"/>
    <w:basedOn w:val="CaptionChar"/>
    <w:link w:val="FigureCaption"/>
    <w:rsid w:val="00375BD8"/>
    <w:rPr>
      <w:rFonts w:ascii="Calibri Light" w:eastAsiaTheme="minorEastAsia" w:hAnsi="Calibri Light" w:cstheme="minorHAnsi"/>
      <w:b/>
      <w:color w:val="000000"/>
      <w14:textFill>
        <w14:solidFill>
          <w14:srgbClr w14:val="000000">
            <w14:lumMod w14:val="50000"/>
          </w14:srgbClr>
        </w14:solidFill>
      </w14:textFill>
    </w:rPr>
  </w:style>
  <w:style w:type="character" w:customStyle="1" w:styleId="Regular">
    <w:name w:val="Regular"/>
    <w:basedOn w:val="DefaultParagraphFont"/>
    <w:uiPriority w:val="1"/>
    <w:rsid w:val="00375BD8"/>
  </w:style>
  <w:style w:type="paragraph" w:styleId="BodyText">
    <w:name w:val="Body Text"/>
    <w:basedOn w:val="Normal"/>
    <w:link w:val="BodyTextChar"/>
    <w:autoRedefine/>
    <w:uiPriority w:val="99"/>
    <w:unhideWhenUsed/>
    <w:qFormat/>
    <w:rsid w:val="00375BD8"/>
  </w:style>
  <w:style w:type="character" w:customStyle="1" w:styleId="BodyTextChar">
    <w:name w:val="Body Text Char"/>
    <w:basedOn w:val="DefaultParagraphFont"/>
    <w:link w:val="BodyText"/>
    <w:uiPriority w:val="99"/>
    <w:rsid w:val="00375BD8"/>
    <w:rPr>
      <w:rFonts w:ascii="Calibri Light" w:eastAsiaTheme="minorEastAsia" w:hAnsi="Calibri Light"/>
      <w:szCs w:val="24"/>
    </w:rPr>
  </w:style>
  <w:style w:type="paragraph" w:customStyle="1" w:styleId="eTRMBulletedText">
    <w:name w:val="eTRM Bulleted Text"/>
    <w:basedOn w:val="Normal"/>
    <w:autoRedefine/>
    <w:qFormat/>
    <w:rsid w:val="00BC6270"/>
    <w:pPr>
      <w:spacing w:before="0" w:after="20"/>
    </w:pPr>
  </w:style>
  <w:style w:type="character" w:styleId="Hyperlink">
    <w:name w:val="Hyperlink"/>
    <w:uiPriority w:val="99"/>
    <w:rsid w:val="00375BD8"/>
    <w:rPr>
      <w:color w:val="0000FF"/>
      <w:u w:val="single"/>
    </w:rPr>
  </w:style>
  <w:style w:type="character" w:styleId="EndnoteReference">
    <w:name w:val="endnote reference"/>
    <w:uiPriority w:val="99"/>
    <w:semiHidden/>
    <w:rsid w:val="00375BD8"/>
    <w:rPr>
      <w:vertAlign w:val="superscript"/>
    </w:rPr>
  </w:style>
  <w:style w:type="paragraph" w:customStyle="1" w:styleId="Table">
    <w:name w:val="Table"/>
    <w:basedOn w:val="Header"/>
    <w:rsid w:val="00375BD8"/>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375BD8"/>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375BD8"/>
    <w:rPr>
      <w:rFonts w:ascii="Calibri Light" w:eastAsia="Times New Roman" w:hAnsi="Calibri Light" w:cs="Times New Roman"/>
      <w:sz w:val="20"/>
      <w:szCs w:val="20"/>
      <w:lang w:val="x-none" w:eastAsia="x-none"/>
    </w:rPr>
  </w:style>
  <w:style w:type="paragraph" w:customStyle="1" w:styleId="eTRMTextNote">
    <w:name w:val="eTRM Text Note"/>
    <w:basedOn w:val="TableFootnote"/>
    <w:next w:val="Normal"/>
    <w:qFormat/>
    <w:rsid w:val="00375BD8"/>
  </w:style>
  <w:style w:type="paragraph" w:customStyle="1" w:styleId="eTRMHeading1">
    <w:name w:val="eTRM Heading 1"/>
    <w:basedOn w:val="Normal"/>
    <w:link w:val="eTRMHeading1Char"/>
    <w:autoRedefine/>
    <w:qFormat/>
    <w:rsid w:val="00375BD8"/>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375BD8"/>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375BD8"/>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375BD8"/>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CB5B4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CB5B46"/>
    <w:rPr>
      <w:rFonts w:ascii="Calibri Light" w:eastAsiaTheme="majorEastAsia" w:hAnsi="Calibri Light" w:cstheme="majorBidi"/>
      <w:caps/>
      <w:color w:val="CFAB7A"/>
      <w:w w:val="102"/>
      <w:sz w:val="24"/>
      <w:szCs w:val="30"/>
    </w:rPr>
  </w:style>
  <w:style w:type="paragraph" w:customStyle="1" w:styleId="eTRMHeading4">
    <w:name w:val="eTRM Heading 4"/>
    <w:basedOn w:val="Normal"/>
    <w:link w:val="eTRMHeading4Char"/>
    <w:qFormat/>
    <w:rsid w:val="00375BD8"/>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375BD8"/>
    <w:rPr>
      <w:rFonts w:ascii="Calibri Light" w:eastAsiaTheme="majorEastAsia" w:hAnsi="Calibri Light" w:cstheme="majorBidi"/>
      <w:color w:val="CFAB7A"/>
      <w:sz w:val="24"/>
    </w:rPr>
  </w:style>
  <w:style w:type="paragraph" w:customStyle="1" w:styleId="eTRMHeading5">
    <w:name w:val="eTRM Heading 5"/>
    <w:basedOn w:val="Normal"/>
    <w:next w:val="Normal"/>
    <w:qFormat/>
    <w:rsid w:val="00375BD8"/>
    <w:rPr>
      <w:i/>
      <w:color w:val="5F5F5F"/>
    </w:rPr>
  </w:style>
  <w:style w:type="paragraph" w:customStyle="1" w:styleId="eTRMFootnoteText">
    <w:name w:val="eTRM Footnote Text"/>
    <w:basedOn w:val="FootnoteText"/>
    <w:next w:val="Normal"/>
    <w:link w:val="eTRMFootnoteTextChar"/>
    <w:autoRedefine/>
    <w:qFormat/>
    <w:rsid w:val="00375BD8"/>
    <w:pPr>
      <w:spacing w:before="20" w:after="20"/>
    </w:pPr>
  </w:style>
  <w:style w:type="character" w:customStyle="1" w:styleId="eTRMFootnoteTextChar">
    <w:name w:val="eTRM Footnote Text Char"/>
    <w:basedOn w:val="FootnoteTextChar"/>
    <w:link w:val="eTRMFootnoteText"/>
    <w:rsid w:val="00375BD8"/>
    <w:rPr>
      <w:rFonts w:ascii="Calibri Light" w:eastAsiaTheme="minorEastAsia" w:hAnsi="Calibri Light"/>
      <w:sz w:val="18"/>
      <w:szCs w:val="24"/>
    </w:rPr>
  </w:style>
  <w:style w:type="paragraph" w:customStyle="1" w:styleId="eTRMTableFootnote">
    <w:name w:val="eTRM Table Footnote"/>
    <w:basedOn w:val="TableFootnote"/>
    <w:qFormat/>
    <w:rsid w:val="00375BD8"/>
    <w:rPr>
      <w:color w:val="auto"/>
      <w:sz w:val="16"/>
    </w:rPr>
  </w:style>
  <w:style w:type="paragraph" w:customStyle="1" w:styleId="eTRMSub-bulletedText">
    <w:name w:val="eTRM Sub-bulleted Text"/>
    <w:basedOn w:val="Normal"/>
    <w:autoRedefine/>
    <w:qFormat/>
    <w:rsid w:val="00375BD8"/>
    <w:pPr>
      <w:numPr>
        <w:ilvl w:val="1"/>
        <w:numId w:val="4"/>
      </w:numPr>
      <w:spacing w:before="0" w:after="20"/>
    </w:pPr>
  </w:style>
  <w:style w:type="character" w:customStyle="1" w:styleId="DocumentMapChar">
    <w:name w:val="Document Map Char"/>
    <w:basedOn w:val="DefaultParagraphFont"/>
    <w:link w:val="DocumentMap"/>
    <w:uiPriority w:val="99"/>
    <w:semiHidden/>
    <w:rsid w:val="00375BD8"/>
    <w:rPr>
      <w:rFonts w:ascii="Times New Roman" w:eastAsiaTheme="minorEastAsia" w:hAnsi="Times New Roman" w:cs="Times New Roman"/>
      <w:sz w:val="24"/>
      <w:szCs w:val="24"/>
    </w:rPr>
  </w:style>
  <w:style w:type="paragraph" w:styleId="DocumentMap">
    <w:name w:val="Document Map"/>
    <w:basedOn w:val="Normal"/>
    <w:link w:val="DocumentMapChar"/>
    <w:uiPriority w:val="99"/>
    <w:semiHidden/>
    <w:unhideWhenUsed/>
    <w:rsid w:val="00375BD8"/>
    <w:pPr>
      <w:spacing w:before="0"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375BD8"/>
    <w:rPr>
      <w:sz w:val="18"/>
      <w:szCs w:val="18"/>
    </w:rPr>
  </w:style>
  <w:style w:type="paragraph" w:styleId="CommentText">
    <w:name w:val="annotation text"/>
    <w:basedOn w:val="Normal"/>
    <w:link w:val="CommentTextChar"/>
    <w:uiPriority w:val="99"/>
    <w:unhideWhenUsed/>
    <w:rsid w:val="00375BD8"/>
    <w:pPr>
      <w:spacing w:after="60" w:line="240" w:lineRule="auto"/>
    </w:pPr>
    <w:rPr>
      <w:sz w:val="24"/>
    </w:rPr>
  </w:style>
  <w:style w:type="character" w:customStyle="1" w:styleId="CommentTextChar">
    <w:name w:val="Comment Text Char"/>
    <w:basedOn w:val="DefaultParagraphFont"/>
    <w:link w:val="CommentText"/>
    <w:uiPriority w:val="99"/>
    <w:rsid w:val="00375BD8"/>
    <w:rPr>
      <w:rFonts w:ascii="Calibri Light" w:eastAsiaTheme="minorEastAsia" w:hAnsi="Calibri Light"/>
      <w:sz w:val="24"/>
      <w:szCs w:val="24"/>
    </w:rPr>
  </w:style>
  <w:style w:type="paragraph" w:styleId="BalloonText">
    <w:name w:val="Balloon Text"/>
    <w:basedOn w:val="Normal"/>
    <w:link w:val="BalloonTextChar"/>
    <w:uiPriority w:val="99"/>
    <w:semiHidden/>
    <w:unhideWhenUsed/>
    <w:rsid w:val="00375BD8"/>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75BD8"/>
    <w:rPr>
      <w:rFonts w:ascii="Times New Roman" w:eastAsiaTheme="minorEastAsia" w:hAnsi="Times New Roman" w:cs="Times New Roman"/>
      <w:sz w:val="18"/>
      <w:szCs w:val="18"/>
    </w:rPr>
  </w:style>
  <w:style w:type="character" w:customStyle="1" w:styleId="CommentSubjectChar">
    <w:name w:val="Comment Subject Char"/>
    <w:basedOn w:val="CommentTextChar"/>
    <w:link w:val="CommentSubject"/>
    <w:uiPriority w:val="99"/>
    <w:semiHidden/>
    <w:rsid w:val="00375BD8"/>
    <w:rPr>
      <w:rFonts w:ascii="Calibri Light" w:eastAsiaTheme="minorEastAsia" w:hAnsi="Calibri Light"/>
      <w:b/>
      <w:bCs/>
      <w:sz w:val="20"/>
      <w:szCs w:val="20"/>
    </w:rPr>
  </w:style>
  <w:style w:type="paragraph" w:styleId="CommentSubject">
    <w:name w:val="annotation subject"/>
    <w:basedOn w:val="CommentText"/>
    <w:next w:val="CommentText"/>
    <w:link w:val="CommentSubjectChar"/>
    <w:uiPriority w:val="99"/>
    <w:semiHidden/>
    <w:unhideWhenUsed/>
    <w:rsid w:val="00375BD8"/>
    <w:pPr>
      <w:spacing w:after="120"/>
    </w:pPr>
    <w:rPr>
      <w:b/>
      <w:bCs/>
      <w:sz w:val="20"/>
      <w:szCs w:val="20"/>
    </w:rPr>
  </w:style>
  <w:style w:type="paragraph" w:customStyle="1" w:styleId="Reminder">
    <w:name w:val="Reminder"/>
    <w:basedOn w:val="Normal"/>
    <w:link w:val="ReminderChar"/>
    <w:rsid w:val="00375BD8"/>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375BD8"/>
    <w:rPr>
      <w:rFonts w:ascii="Trebuchet MS" w:eastAsia="Times New Roman" w:hAnsi="Trebuchet MS" w:cs="Times New Roman"/>
      <w:i/>
      <w:color w:val="FF0000"/>
      <w:szCs w:val="24"/>
    </w:rPr>
  </w:style>
  <w:style w:type="paragraph" w:styleId="NoSpacing">
    <w:name w:val="No Spacing"/>
    <w:uiPriority w:val="1"/>
    <w:qFormat/>
    <w:rsid w:val="00375BD8"/>
    <w:pPr>
      <w:spacing w:after="0" w:line="240" w:lineRule="auto"/>
    </w:pPr>
  </w:style>
  <w:style w:type="paragraph" w:customStyle="1" w:styleId="Reminders">
    <w:name w:val="Reminders"/>
    <w:basedOn w:val="Normal"/>
    <w:link w:val="RemindersChar"/>
    <w:rsid w:val="00375BD8"/>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375BD8"/>
    <w:rPr>
      <w:rFonts w:ascii="Trebuchet MS" w:eastAsia="Times New Roman" w:hAnsi="Trebuchet MS" w:cs="Times New Roman"/>
      <w:i/>
      <w:color w:val="FF0000"/>
      <w:szCs w:val="24"/>
    </w:rPr>
  </w:style>
  <w:style w:type="character" w:customStyle="1" w:styleId="UnresolvedMention1">
    <w:name w:val="Unresolved Mention1"/>
    <w:basedOn w:val="DefaultParagraphFont"/>
    <w:uiPriority w:val="99"/>
    <w:rsid w:val="00375BD8"/>
    <w:rPr>
      <w:color w:val="605E5C"/>
      <w:shd w:val="clear" w:color="auto" w:fill="E1DFDD"/>
    </w:rPr>
  </w:style>
  <w:style w:type="paragraph" w:customStyle="1" w:styleId="Normal1">
    <w:name w:val="Normal1"/>
    <w:rsid w:val="00375BD8"/>
    <w:pPr>
      <w:spacing w:after="0" w:line="240" w:lineRule="auto"/>
    </w:pPr>
    <w:rPr>
      <w:rFonts w:ascii="Calibri" w:eastAsia="Calibri" w:hAnsi="Calibri" w:cs="Calibri"/>
      <w:color w:val="000000"/>
    </w:rPr>
  </w:style>
  <w:style w:type="character" w:customStyle="1" w:styleId="apple-converted-space">
    <w:name w:val="apple-converted-space"/>
    <w:basedOn w:val="DefaultParagraphFont"/>
    <w:rsid w:val="00375BD8"/>
  </w:style>
  <w:style w:type="paragraph" w:customStyle="1" w:styleId="Normal2">
    <w:name w:val="Normal2"/>
    <w:rsid w:val="00375BD8"/>
    <w:pPr>
      <w:widowControl w:val="0"/>
      <w:spacing w:after="0" w:line="240" w:lineRule="auto"/>
    </w:pPr>
    <w:rPr>
      <w:rFonts w:ascii="Calibri" w:eastAsia="Calibri" w:hAnsi="Calibri" w:cs="Calibri"/>
      <w:color w:val="000000"/>
    </w:rPr>
  </w:style>
  <w:style w:type="character" w:customStyle="1" w:styleId="gmailmsg">
    <w:name w:val="gmail_msg"/>
    <w:basedOn w:val="DefaultParagraphFont"/>
    <w:rsid w:val="00375BD8"/>
  </w:style>
  <w:style w:type="paragraph" w:customStyle="1" w:styleId="m-4164623072496684233gmail-normal1">
    <w:name w:val="m_-4164623072496684233gmail-normal1"/>
    <w:basedOn w:val="Normal"/>
    <w:rsid w:val="00375BD8"/>
    <w:pPr>
      <w:spacing w:before="100" w:beforeAutospacing="1" w:after="100" w:afterAutospacing="1" w:line="240" w:lineRule="auto"/>
    </w:pPr>
    <w:rPr>
      <w:rFonts w:ascii="Times" w:eastAsia="Calibri" w:hAnsi="Times" w:cs="Calibri"/>
      <w:sz w:val="20"/>
      <w:szCs w:val="20"/>
    </w:rPr>
  </w:style>
  <w:style w:type="paragraph" w:styleId="NormalWeb">
    <w:name w:val="Normal (Web)"/>
    <w:basedOn w:val="Normal"/>
    <w:uiPriority w:val="99"/>
    <w:unhideWhenUsed/>
    <w:rsid w:val="00375BD8"/>
    <w:pPr>
      <w:spacing w:before="100" w:beforeAutospacing="1" w:after="100" w:afterAutospacing="1" w:line="240" w:lineRule="auto"/>
    </w:pPr>
    <w:rPr>
      <w:rFonts w:ascii="Times" w:eastAsia="Calibri" w:hAnsi="Times" w:cs="Times New Roman"/>
      <w:sz w:val="20"/>
      <w:szCs w:val="20"/>
    </w:rPr>
  </w:style>
  <w:style w:type="table" w:customStyle="1" w:styleId="TableGrid2">
    <w:name w:val="Table Grid2"/>
    <w:basedOn w:val="TableNormal"/>
    <w:next w:val="TableGrid"/>
    <w:uiPriority w:val="59"/>
    <w:rsid w:val="00375BD8"/>
    <w:pPr>
      <w:spacing w:after="0" w:line="240" w:lineRule="auto"/>
    </w:pPr>
    <w:rPr>
      <w:rFonts w:ascii="Calibri" w:eastAsia="Calibri" w:hAnsi="Calibri" w:cs="Calibri"/>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75BD8"/>
    <w:pPr>
      <w:autoSpaceDE w:val="0"/>
      <w:autoSpaceDN w:val="0"/>
      <w:adjustRightInd w:val="0"/>
      <w:spacing w:after="0" w:line="240" w:lineRule="auto"/>
    </w:pPr>
    <w:rPr>
      <w:rFonts w:ascii="Calibri Light" w:eastAsiaTheme="minorEastAsia" w:hAnsi="Calibri Light" w:cs="Calibri Light"/>
      <w:color w:val="000000"/>
      <w:sz w:val="24"/>
      <w:szCs w:val="24"/>
    </w:rPr>
  </w:style>
  <w:style w:type="paragraph" w:styleId="Revision">
    <w:name w:val="Revision"/>
    <w:hidden/>
    <w:uiPriority w:val="99"/>
    <w:semiHidden/>
    <w:rsid w:val="00057530"/>
    <w:pPr>
      <w:spacing w:after="0" w:line="240" w:lineRule="auto"/>
    </w:pPr>
    <w:rPr>
      <w:rFonts w:ascii="Calibri Light" w:eastAsiaTheme="minorEastAsia" w:hAnsi="Calibri Light"/>
      <w:szCs w:val="24"/>
    </w:rPr>
  </w:style>
  <w:style w:type="character" w:styleId="SubtleEmphasis">
    <w:name w:val="Subtle Emphasis"/>
    <w:basedOn w:val="DefaultParagraphFont"/>
    <w:uiPriority w:val="19"/>
    <w:qFormat/>
    <w:rsid w:val="009518C6"/>
    <w:rPr>
      <w:i/>
      <w:iCs/>
      <w:color w:val="404040" w:themeColor="text1" w:themeTint="BF"/>
    </w:rPr>
  </w:style>
  <w:style w:type="character" w:customStyle="1" w:styleId="UnresolvedMention2">
    <w:name w:val="Unresolved Mention2"/>
    <w:basedOn w:val="DefaultParagraphFont"/>
    <w:uiPriority w:val="99"/>
    <w:semiHidden/>
    <w:unhideWhenUsed/>
    <w:rsid w:val="00CB5B46"/>
    <w:rPr>
      <w:color w:val="605E5C"/>
      <w:shd w:val="clear" w:color="auto" w:fill="E1DFDD"/>
    </w:rPr>
  </w:style>
  <w:style w:type="character" w:styleId="PlaceholderText">
    <w:name w:val="Placeholder Text"/>
    <w:basedOn w:val="DefaultParagraphFont"/>
    <w:uiPriority w:val="99"/>
    <w:semiHidden/>
    <w:rsid w:val="00AB28BF"/>
    <w:rPr>
      <w:color w:val="808080"/>
    </w:rPr>
  </w:style>
  <w:style w:type="table" w:styleId="TableGridLight">
    <w:name w:val="Grid Table Light"/>
    <w:basedOn w:val="TableNormal"/>
    <w:uiPriority w:val="40"/>
    <w:rsid w:val="00A321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etrmbulletedtext">
    <w:name w:val="x_etrmbulletedtext"/>
    <w:basedOn w:val="Normal"/>
    <w:rsid w:val="00194249"/>
    <w:pPr>
      <w:spacing w:before="0" w:after="20"/>
      <w:ind w:left="720" w:hanging="360"/>
    </w:pPr>
    <w:rPr>
      <w:rFonts w:eastAsiaTheme="minorHAnsi" w:cs="Times New Roman"/>
      <w:szCs w:val="22"/>
    </w:rPr>
  </w:style>
  <w:style w:type="table" w:customStyle="1" w:styleId="TableGrid1">
    <w:name w:val="Table Grid1"/>
    <w:basedOn w:val="TableNormal"/>
    <w:next w:val="TableGrid"/>
    <w:rsid w:val="00BC6270"/>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90274"/>
    <w:pPr>
      <w:widowControl w:val="0"/>
      <w:autoSpaceDE w:val="0"/>
      <w:autoSpaceDN w:val="0"/>
      <w:spacing w:before="1" w:after="0" w:line="240" w:lineRule="auto"/>
      <w:ind w:left="107"/>
    </w:pPr>
    <w:rPr>
      <w:rFonts w:eastAsia="Calibri Light" w:cs="Calibri Light"/>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06742">
      <w:bodyDiv w:val="1"/>
      <w:marLeft w:val="0"/>
      <w:marRight w:val="0"/>
      <w:marTop w:val="0"/>
      <w:marBottom w:val="0"/>
      <w:divBdr>
        <w:top w:val="none" w:sz="0" w:space="0" w:color="auto"/>
        <w:left w:val="none" w:sz="0" w:space="0" w:color="auto"/>
        <w:bottom w:val="none" w:sz="0" w:space="0" w:color="auto"/>
        <w:right w:val="none" w:sz="0" w:space="0" w:color="auto"/>
      </w:divBdr>
    </w:div>
    <w:div w:id="72553096">
      <w:bodyDiv w:val="1"/>
      <w:marLeft w:val="0"/>
      <w:marRight w:val="0"/>
      <w:marTop w:val="0"/>
      <w:marBottom w:val="0"/>
      <w:divBdr>
        <w:top w:val="none" w:sz="0" w:space="0" w:color="auto"/>
        <w:left w:val="none" w:sz="0" w:space="0" w:color="auto"/>
        <w:bottom w:val="none" w:sz="0" w:space="0" w:color="auto"/>
        <w:right w:val="none" w:sz="0" w:space="0" w:color="auto"/>
      </w:divBdr>
    </w:div>
    <w:div w:id="348457037">
      <w:bodyDiv w:val="1"/>
      <w:marLeft w:val="0"/>
      <w:marRight w:val="0"/>
      <w:marTop w:val="0"/>
      <w:marBottom w:val="0"/>
      <w:divBdr>
        <w:top w:val="none" w:sz="0" w:space="0" w:color="auto"/>
        <w:left w:val="none" w:sz="0" w:space="0" w:color="auto"/>
        <w:bottom w:val="none" w:sz="0" w:space="0" w:color="auto"/>
        <w:right w:val="none" w:sz="0" w:space="0" w:color="auto"/>
      </w:divBdr>
    </w:div>
    <w:div w:id="431556826">
      <w:bodyDiv w:val="1"/>
      <w:marLeft w:val="0"/>
      <w:marRight w:val="0"/>
      <w:marTop w:val="0"/>
      <w:marBottom w:val="0"/>
      <w:divBdr>
        <w:top w:val="none" w:sz="0" w:space="0" w:color="auto"/>
        <w:left w:val="none" w:sz="0" w:space="0" w:color="auto"/>
        <w:bottom w:val="none" w:sz="0" w:space="0" w:color="auto"/>
        <w:right w:val="none" w:sz="0" w:space="0" w:color="auto"/>
      </w:divBdr>
    </w:div>
    <w:div w:id="433748988">
      <w:bodyDiv w:val="1"/>
      <w:marLeft w:val="0"/>
      <w:marRight w:val="0"/>
      <w:marTop w:val="0"/>
      <w:marBottom w:val="0"/>
      <w:divBdr>
        <w:top w:val="none" w:sz="0" w:space="0" w:color="auto"/>
        <w:left w:val="none" w:sz="0" w:space="0" w:color="auto"/>
        <w:bottom w:val="none" w:sz="0" w:space="0" w:color="auto"/>
        <w:right w:val="none" w:sz="0" w:space="0" w:color="auto"/>
      </w:divBdr>
    </w:div>
    <w:div w:id="482508160">
      <w:bodyDiv w:val="1"/>
      <w:marLeft w:val="0"/>
      <w:marRight w:val="0"/>
      <w:marTop w:val="0"/>
      <w:marBottom w:val="0"/>
      <w:divBdr>
        <w:top w:val="none" w:sz="0" w:space="0" w:color="auto"/>
        <w:left w:val="none" w:sz="0" w:space="0" w:color="auto"/>
        <w:bottom w:val="none" w:sz="0" w:space="0" w:color="auto"/>
        <w:right w:val="none" w:sz="0" w:space="0" w:color="auto"/>
      </w:divBdr>
      <w:divsChild>
        <w:div w:id="1288271748">
          <w:marLeft w:val="0"/>
          <w:marRight w:val="0"/>
          <w:marTop w:val="0"/>
          <w:marBottom w:val="0"/>
          <w:divBdr>
            <w:top w:val="none" w:sz="0" w:space="0" w:color="auto"/>
            <w:left w:val="none" w:sz="0" w:space="0" w:color="auto"/>
            <w:bottom w:val="none" w:sz="0" w:space="0" w:color="auto"/>
            <w:right w:val="none" w:sz="0" w:space="0" w:color="auto"/>
          </w:divBdr>
        </w:div>
        <w:div w:id="1861115316">
          <w:marLeft w:val="0"/>
          <w:marRight w:val="0"/>
          <w:marTop w:val="0"/>
          <w:marBottom w:val="0"/>
          <w:divBdr>
            <w:top w:val="none" w:sz="0" w:space="0" w:color="auto"/>
            <w:left w:val="none" w:sz="0" w:space="0" w:color="auto"/>
            <w:bottom w:val="none" w:sz="0" w:space="0" w:color="auto"/>
            <w:right w:val="none" w:sz="0" w:space="0" w:color="auto"/>
          </w:divBdr>
        </w:div>
        <w:div w:id="1700858574">
          <w:marLeft w:val="0"/>
          <w:marRight w:val="0"/>
          <w:marTop w:val="0"/>
          <w:marBottom w:val="0"/>
          <w:divBdr>
            <w:top w:val="none" w:sz="0" w:space="0" w:color="auto"/>
            <w:left w:val="none" w:sz="0" w:space="0" w:color="auto"/>
            <w:bottom w:val="none" w:sz="0" w:space="0" w:color="auto"/>
            <w:right w:val="none" w:sz="0" w:space="0" w:color="auto"/>
          </w:divBdr>
        </w:div>
      </w:divsChild>
    </w:div>
    <w:div w:id="578517328">
      <w:bodyDiv w:val="1"/>
      <w:marLeft w:val="0"/>
      <w:marRight w:val="0"/>
      <w:marTop w:val="0"/>
      <w:marBottom w:val="0"/>
      <w:divBdr>
        <w:top w:val="none" w:sz="0" w:space="0" w:color="auto"/>
        <w:left w:val="none" w:sz="0" w:space="0" w:color="auto"/>
        <w:bottom w:val="none" w:sz="0" w:space="0" w:color="auto"/>
        <w:right w:val="none" w:sz="0" w:space="0" w:color="auto"/>
      </w:divBdr>
    </w:div>
    <w:div w:id="740370360">
      <w:bodyDiv w:val="1"/>
      <w:marLeft w:val="0"/>
      <w:marRight w:val="0"/>
      <w:marTop w:val="0"/>
      <w:marBottom w:val="0"/>
      <w:divBdr>
        <w:top w:val="none" w:sz="0" w:space="0" w:color="auto"/>
        <w:left w:val="none" w:sz="0" w:space="0" w:color="auto"/>
        <w:bottom w:val="none" w:sz="0" w:space="0" w:color="auto"/>
        <w:right w:val="none" w:sz="0" w:space="0" w:color="auto"/>
      </w:divBdr>
    </w:div>
    <w:div w:id="817496887">
      <w:bodyDiv w:val="1"/>
      <w:marLeft w:val="0"/>
      <w:marRight w:val="0"/>
      <w:marTop w:val="0"/>
      <w:marBottom w:val="0"/>
      <w:divBdr>
        <w:top w:val="none" w:sz="0" w:space="0" w:color="auto"/>
        <w:left w:val="none" w:sz="0" w:space="0" w:color="auto"/>
        <w:bottom w:val="none" w:sz="0" w:space="0" w:color="auto"/>
        <w:right w:val="none" w:sz="0" w:space="0" w:color="auto"/>
      </w:divBdr>
    </w:div>
    <w:div w:id="1081827325">
      <w:bodyDiv w:val="1"/>
      <w:marLeft w:val="0"/>
      <w:marRight w:val="0"/>
      <w:marTop w:val="0"/>
      <w:marBottom w:val="0"/>
      <w:divBdr>
        <w:top w:val="none" w:sz="0" w:space="0" w:color="auto"/>
        <w:left w:val="none" w:sz="0" w:space="0" w:color="auto"/>
        <w:bottom w:val="none" w:sz="0" w:space="0" w:color="auto"/>
        <w:right w:val="none" w:sz="0" w:space="0" w:color="auto"/>
      </w:divBdr>
    </w:div>
    <w:div w:id="1087727169">
      <w:bodyDiv w:val="1"/>
      <w:marLeft w:val="0"/>
      <w:marRight w:val="0"/>
      <w:marTop w:val="0"/>
      <w:marBottom w:val="0"/>
      <w:divBdr>
        <w:top w:val="none" w:sz="0" w:space="0" w:color="auto"/>
        <w:left w:val="none" w:sz="0" w:space="0" w:color="auto"/>
        <w:bottom w:val="none" w:sz="0" w:space="0" w:color="auto"/>
        <w:right w:val="none" w:sz="0" w:space="0" w:color="auto"/>
      </w:divBdr>
    </w:div>
    <w:div w:id="1409496358">
      <w:bodyDiv w:val="1"/>
      <w:marLeft w:val="0"/>
      <w:marRight w:val="0"/>
      <w:marTop w:val="0"/>
      <w:marBottom w:val="0"/>
      <w:divBdr>
        <w:top w:val="none" w:sz="0" w:space="0" w:color="auto"/>
        <w:left w:val="none" w:sz="0" w:space="0" w:color="auto"/>
        <w:bottom w:val="none" w:sz="0" w:space="0" w:color="auto"/>
        <w:right w:val="none" w:sz="0" w:space="0" w:color="auto"/>
      </w:divBdr>
    </w:div>
    <w:div w:id="1508667049">
      <w:bodyDiv w:val="1"/>
      <w:marLeft w:val="0"/>
      <w:marRight w:val="0"/>
      <w:marTop w:val="0"/>
      <w:marBottom w:val="0"/>
      <w:divBdr>
        <w:top w:val="none" w:sz="0" w:space="0" w:color="auto"/>
        <w:left w:val="none" w:sz="0" w:space="0" w:color="auto"/>
        <w:bottom w:val="none" w:sz="0" w:space="0" w:color="auto"/>
        <w:right w:val="none" w:sz="0" w:space="0" w:color="auto"/>
      </w:divBdr>
    </w:div>
    <w:div w:id="205993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8.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21286918E16149911EADAC79418E40" ma:contentTypeVersion="12" ma:contentTypeDescription="Create a new document." ma:contentTypeScope="" ma:versionID="196da0cfd21b0ecb3275ea42bd6232a1">
  <xsd:schema xmlns:xsd="http://www.w3.org/2001/XMLSchema" xmlns:xs="http://www.w3.org/2001/XMLSchema" xmlns:p="http://schemas.microsoft.com/office/2006/metadata/properties" xmlns:ns2="c39d0427-23a3-434a-87a3-106c18a58fcc" xmlns:ns3="946de2c9-4276-4617-bb50-e4d722df88af" targetNamespace="http://schemas.microsoft.com/office/2006/metadata/properties" ma:root="true" ma:fieldsID="cbf1c91c2c9028a5214b5c016a887adb" ns2:_="" ns3:_="">
    <xsd:import namespace="c39d0427-23a3-434a-87a3-106c18a58fcc"/>
    <xsd:import namespace="946de2c9-4276-4617-bb50-e4d722df88a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d0427-23a3-434a-87a3-106c18a58fc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6de2c9-4276-4617-bb50-e4d722df88a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67CD56-A58E-483F-AC23-94598ADE7872}">
  <ds:schemaRefs>
    <ds:schemaRef ds:uri="http://schemas.microsoft.com/sharepoint/v3/contenttype/forms"/>
  </ds:schemaRefs>
</ds:datastoreItem>
</file>

<file path=customXml/itemProps2.xml><?xml version="1.0" encoding="utf-8"?>
<ds:datastoreItem xmlns:ds="http://schemas.openxmlformats.org/officeDocument/2006/customXml" ds:itemID="{5616553C-F881-4576-AE4C-9838A74DFD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9d0427-23a3-434a-87a3-106c18a58fcc"/>
    <ds:schemaRef ds:uri="946de2c9-4276-4617-bb50-e4d722df8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DCF202-0BC9-4621-9134-4177C3625739}">
  <ds:schemaRefs>
    <ds:schemaRef ds:uri="http://schemas.openxmlformats.org/officeDocument/2006/bibliography"/>
  </ds:schemaRefs>
</ds:datastoreItem>
</file>

<file path=customXml/itemProps4.xml><?xml version="1.0" encoding="utf-8"?>
<ds:datastoreItem xmlns:ds="http://schemas.openxmlformats.org/officeDocument/2006/customXml" ds:itemID="{6DC9C774-E6D6-4E38-B5C8-B4EBEEF31C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23</Pages>
  <Words>5759</Words>
  <Characters>32828</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Yamasaki, Brandon</dc:creator>
  <cp:keywords/>
  <dc:description/>
  <cp:lastModifiedBy>Andres Fergadiotti</cp:lastModifiedBy>
  <cp:revision>8</cp:revision>
  <dcterms:created xsi:type="dcterms:W3CDTF">2021-03-09T21:30:00Z</dcterms:created>
  <dcterms:modified xsi:type="dcterms:W3CDTF">2021-11-30T17:45:00Z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0x010100B921286918E16149911EADAC79418E40</vt:lpwstr>
  </property>
</Properties>
</file>